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6AF8B4">
      <w:pPr>
        <w:keepNext w:val="0"/>
        <w:keepLines w:val="0"/>
        <w:widowControl/>
        <w:suppressLineNumbers w:val="0"/>
        <w:pBdr>
          <w:top w:val="none" w:color="auto" w:sz="0" w:space="0"/>
          <w:left w:val="none" w:color="auto" w:sz="0" w:space="0"/>
          <w:bottom w:val="dashed" w:color="666666" w:sz="6" w:space="15"/>
          <w:right w:val="none" w:color="auto" w:sz="0" w:space="0"/>
        </w:pBdr>
        <w:shd w:val="clear" w:fill="FFFFFF"/>
        <w:spacing w:before="0" w:beforeAutospacing="0" w:after="0" w:afterAutospacing="0"/>
        <w:ind w:left="0" w:right="0" w:firstLine="0"/>
        <w:jc w:val="center"/>
        <w:rPr>
          <w:rFonts w:ascii="微软雅黑" w:hAnsi="微软雅黑" w:eastAsia="微软雅黑" w:cs="微软雅黑"/>
          <w:b/>
          <w:bCs/>
          <w:i w:val="0"/>
          <w:iCs w:val="0"/>
          <w:caps w:val="0"/>
          <w:color w:val="000000" w:themeColor="text1"/>
          <w:spacing w:val="0"/>
          <w:sz w:val="36"/>
          <w:szCs w:val="36"/>
          <w14:textFill>
            <w14:solidFill>
              <w14:schemeClr w14:val="tx1"/>
            </w14:solidFill>
          </w14:textFill>
        </w:rPr>
      </w:pPr>
      <w:bookmarkStart w:id="0" w:name="_GoBack"/>
      <w:r>
        <w:rPr>
          <w:rFonts w:hint="eastAsia" w:ascii="微软雅黑" w:hAnsi="微软雅黑" w:eastAsia="微软雅黑" w:cs="微软雅黑"/>
          <w:b/>
          <w:bCs/>
          <w:i w:val="0"/>
          <w:iCs w:val="0"/>
          <w:caps w:val="0"/>
          <w:color w:val="000000" w:themeColor="text1"/>
          <w:spacing w:val="0"/>
          <w:kern w:val="0"/>
          <w:sz w:val="36"/>
          <w:szCs w:val="36"/>
          <w:shd w:val="clear" w:fill="FFFFFF"/>
          <w:lang w:val="en-US" w:eastAsia="zh-CN" w:bidi="ar"/>
          <w14:textFill>
            <w14:solidFill>
              <w14:schemeClr w14:val="tx1"/>
            </w14:solidFill>
          </w14:textFill>
        </w:rPr>
        <w:t>关于印发《关于加强低收入人口动态监测做好分层分类社会救助工作的实施方案》的通知（2025/06/10）</w:t>
      </w:r>
    </w:p>
    <w:bookmarkEnd w:id="0"/>
    <w:p w14:paraId="0B4E622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0"/>
        <w:jc w:val="both"/>
      </w:pPr>
      <w:r>
        <w:rPr>
          <w:rFonts w:hint="eastAsia" w:ascii="微软雅黑" w:hAnsi="微软雅黑" w:eastAsia="微软雅黑" w:cs="微软雅黑"/>
          <w:i w:val="0"/>
          <w:iCs w:val="0"/>
          <w:caps w:val="0"/>
          <w:color w:val="000000"/>
          <w:spacing w:val="0"/>
          <w:sz w:val="21"/>
          <w:szCs w:val="21"/>
          <w:shd w:val="clear" w:fill="FFFFFF"/>
        </w:rPr>
        <w:t>各区、县（市）人民政府，各有关单位：</w:t>
      </w:r>
    </w:p>
    <w:p w14:paraId="2015900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both"/>
      </w:pPr>
      <w:r>
        <w:rPr>
          <w:rFonts w:hint="eastAsia" w:ascii="微软雅黑" w:hAnsi="微软雅黑" w:eastAsia="微软雅黑" w:cs="微软雅黑"/>
          <w:i w:val="0"/>
          <w:iCs w:val="0"/>
          <w:caps w:val="0"/>
          <w:color w:val="000000"/>
          <w:spacing w:val="0"/>
          <w:sz w:val="21"/>
          <w:szCs w:val="21"/>
          <w:shd w:val="clear" w:fill="FFFFFF"/>
        </w:rPr>
        <w:t>经市政府同意，现将《关于加强低收入人口动态监测做好分层分类社会救助工作的实施方案》印发给你们，请结合实际认真贯彻落实。</w:t>
      </w:r>
    </w:p>
    <w:p w14:paraId="6C473E3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both"/>
      </w:pPr>
      <w:r>
        <w:rPr>
          <w:rFonts w:hint="eastAsia" w:ascii="微软雅黑" w:hAnsi="微软雅黑" w:eastAsia="微软雅黑" w:cs="微软雅黑"/>
          <w:i w:val="0"/>
          <w:iCs w:val="0"/>
          <w:caps w:val="0"/>
          <w:color w:val="000000"/>
          <w:spacing w:val="0"/>
          <w:sz w:val="21"/>
          <w:szCs w:val="21"/>
          <w:shd w:val="clear" w:fill="FFFFFF"/>
        </w:rPr>
        <w:t> </w:t>
      </w:r>
    </w:p>
    <w:p w14:paraId="6CEFC33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right"/>
      </w:pPr>
      <w:r>
        <w:rPr>
          <w:rFonts w:hint="eastAsia" w:ascii="微软雅黑" w:hAnsi="微软雅黑" w:eastAsia="微软雅黑" w:cs="微软雅黑"/>
          <w:i w:val="0"/>
          <w:iCs w:val="0"/>
          <w:caps w:val="0"/>
          <w:color w:val="000000"/>
          <w:spacing w:val="0"/>
          <w:sz w:val="21"/>
          <w:szCs w:val="21"/>
          <w:shd w:val="clear" w:fill="FFFFFF"/>
        </w:rPr>
        <w:t>沈阳市民政局              沈阳市教育局</w:t>
      </w:r>
    </w:p>
    <w:p w14:paraId="46E8006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right"/>
      </w:pPr>
      <w:r>
        <w:rPr>
          <w:rFonts w:hint="eastAsia" w:ascii="微软雅黑" w:hAnsi="微软雅黑" w:eastAsia="微软雅黑" w:cs="微软雅黑"/>
          <w:i w:val="0"/>
          <w:iCs w:val="0"/>
          <w:caps w:val="0"/>
          <w:color w:val="000000"/>
          <w:spacing w:val="0"/>
          <w:sz w:val="21"/>
          <w:szCs w:val="21"/>
          <w:shd w:val="clear" w:fill="FFFFFF"/>
        </w:rPr>
        <w:t>沈阳市财政局        沈阳市人力资源和社会保障局</w:t>
      </w:r>
    </w:p>
    <w:p w14:paraId="11C504F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right"/>
      </w:pPr>
      <w:r>
        <w:rPr>
          <w:rFonts w:hint="eastAsia" w:ascii="微软雅黑" w:hAnsi="微软雅黑" w:eastAsia="微软雅黑" w:cs="微软雅黑"/>
          <w:i w:val="0"/>
          <w:iCs w:val="0"/>
          <w:caps w:val="0"/>
          <w:color w:val="000000"/>
          <w:spacing w:val="0"/>
          <w:sz w:val="21"/>
          <w:szCs w:val="21"/>
          <w:shd w:val="clear" w:fill="FFFFFF"/>
        </w:rPr>
        <w:t>沈阳市房产局           沈阳市农业农村局</w:t>
      </w:r>
    </w:p>
    <w:p w14:paraId="586A73B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right"/>
      </w:pPr>
      <w:r>
        <w:rPr>
          <w:rFonts w:hint="eastAsia" w:ascii="微软雅黑" w:hAnsi="微软雅黑" w:eastAsia="微软雅黑" w:cs="微软雅黑"/>
          <w:i w:val="0"/>
          <w:iCs w:val="0"/>
          <w:caps w:val="0"/>
          <w:color w:val="000000"/>
          <w:spacing w:val="0"/>
          <w:sz w:val="21"/>
          <w:szCs w:val="21"/>
          <w:shd w:val="clear" w:fill="FFFFFF"/>
        </w:rPr>
        <w:t>沈阳市卫生健康委员会  沈阳市应急管理局</w:t>
      </w:r>
    </w:p>
    <w:p w14:paraId="7228283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right"/>
      </w:pPr>
      <w:r>
        <w:rPr>
          <w:rFonts w:hint="eastAsia" w:ascii="微软雅黑" w:hAnsi="微软雅黑" w:eastAsia="微软雅黑" w:cs="微软雅黑"/>
          <w:i w:val="0"/>
          <w:iCs w:val="0"/>
          <w:caps w:val="0"/>
          <w:color w:val="000000"/>
          <w:spacing w:val="0"/>
          <w:sz w:val="21"/>
          <w:szCs w:val="21"/>
          <w:shd w:val="clear" w:fill="FFFFFF"/>
        </w:rPr>
        <w:t>沈阳市数据局         沈阳市医疗保障局</w:t>
      </w:r>
    </w:p>
    <w:p w14:paraId="772B8EB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right"/>
      </w:pPr>
      <w:r>
        <w:rPr>
          <w:rFonts w:hint="eastAsia" w:ascii="微软雅黑" w:hAnsi="微软雅黑" w:eastAsia="微软雅黑" w:cs="微软雅黑"/>
          <w:i w:val="0"/>
          <w:iCs w:val="0"/>
          <w:caps w:val="0"/>
          <w:color w:val="000000"/>
          <w:spacing w:val="0"/>
          <w:sz w:val="21"/>
          <w:szCs w:val="21"/>
          <w:shd w:val="clear" w:fill="FFFFFF"/>
        </w:rPr>
        <w:t>                           沈阳市残疾人联合会</w:t>
      </w:r>
    </w:p>
    <w:p w14:paraId="46F8C6F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right"/>
      </w:pPr>
      <w:r>
        <w:rPr>
          <w:rFonts w:hint="eastAsia" w:ascii="微软雅黑" w:hAnsi="微软雅黑" w:eastAsia="微软雅黑" w:cs="微软雅黑"/>
          <w:i w:val="0"/>
          <w:iCs w:val="0"/>
          <w:caps w:val="0"/>
          <w:color w:val="000000"/>
          <w:spacing w:val="0"/>
          <w:sz w:val="21"/>
          <w:szCs w:val="21"/>
          <w:shd w:val="clear" w:fill="FFFFFF"/>
        </w:rPr>
        <w:t>                            2025年6月10日</w:t>
      </w:r>
    </w:p>
    <w:p w14:paraId="55A80A6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（此件公开发布）</w:t>
      </w:r>
    </w:p>
    <w:p w14:paraId="37711E3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  </w:t>
      </w:r>
    </w:p>
    <w:p w14:paraId="1178FCC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0"/>
        <w:jc w:val="center"/>
      </w:pPr>
      <w:r>
        <w:rPr>
          <w:rFonts w:hint="eastAsia" w:ascii="微软雅黑" w:hAnsi="微软雅黑" w:eastAsia="微软雅黑" w:cs="微软雅黑"/>
          <w:i w:val="0"/>
          <w:iCs w:val="0"/>
          <w:caps w:val="0"/>
          <w:color w:val="000000"/>
          <w:spacing w:val="0"/>
          <w:sz w:val="21"/>
          <w:szCs w:val="21"/>
          <w:shd w:val="clear" w:fill="FFFFFF"/>
        </w:rPr>
        <w:t>关于加强低收入人口动态监测做好分层分类社会救助工作的实施方案</w:t>
      </w:r>
    </w:p>
    <w:p w14:paraId="7241EBB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 </w:t>
      </w:r>
    </w:p>
    <w:p w14:paraId="0900974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为贯彻落实省民政厅、省教育厅等11部门《关于印发〈关于加强低收入人口动态监测做好分层分类社会救助工作的实施意见〉的通知》（辽民发〔2024〕47号）要求，健全分层分类社会救助体系，扎实做好低收入人口动态监测和救助帮扶，结合我市实际，制定本实施方案。</w:t>
      </w:r>
    </w:p>
    <w:p w14:paraId="18BCD9A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一、工作目标</w:t>
      </w:r>
    </w:p>
    <w:p w14:paraId="131DDE3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以习近平新时代中国特色社会主义思想为指导，深入贯彻党的二十大和二十届二中、三中全会精神，认真学习贯彻落实习近平总书记关于社会救助工作的重要论述，全面落实党中央、国务院关于改革完善社会救助制度、实现巩固拓展脱贫攻坚成果同乡村振兴有效衔接的决策部署和省、市工作要求，坚持以人民为中心，加强普惠性、基础性、兜底性民生建设，立足我市经济社会发展实际，健全以基本生活救助、专项社会救助、急难社会救助为主体，社会力量参与为补充的分层分类社会救助体系，强化低收入人口动态监测，实现救助资源统筹、信息共享、效率提升，切实兜住兜准兜牢基本民生底线。</w:t>
      </w:r>
    </w:p>
    <w:p w14:paraId="274167F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二、重点任务</w:t>
      </w:r>
    </w:p>
    <w:p w14:paraId="5861548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（一）精准认定低收入人口</w:t>
      </w:r>
    </w:p>
    <w:p w14:paraId="2C7096E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1.合理确定范围。低收入人口包括最低生活保障对象（以下简称低保对象）、特困人员、防止返贫监测对象、最低生活保障边缘家庭成员（以下简称低保边缘家庭成员），刚性支出困难家庭成员，以及其他困难成员。低保对象、特困人员、低保边缘家庭成员和刚性支出困难家庭由民政部门按照我市相关规定审核确认。防止返贫监测对象由农业农村部门按照相关规定认定。</w:t>
      </w:r>
    </w:p>
    <w:p w14:paraId="7E7793A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责任单位：市民政局、市农业农村局，各区、县（市）人民政府</w:t>
      </w:r>
    </w:p>
    <w:p w14:paraId="0CD4E05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2.优化认定程序。建立健全社会救助综合评估机制，积极探索“一次申请、分类审核认定”模式，加强各类低收入人口审核认定工作衔接，根据申请人家庭经济状况调查结果，对照各类低收入人口认定条件逐类进行审核，及时转换审核确认工作程序，避免重复采集申请信息，确保困难群众最大限度享受救助帮扶政策。</w:t>
      </w:r>
    </w:p>
    <w:p w14:paraId="7FC400B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责任单位：市民政局，各区、县（市）人民政府</w:t>
      </w:r>
    </w:p>
    <w:p w14:paraId="60F185F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（二）全面加强低收入人口动态监测</w:t>
      </w:r>
    </w:p>
    <w:p w14:paraId="0760821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3.建设动态监测信息平台。依托市民政局“大救助”信息系统，实现低收入人口数据共享、预警监测、需求推送、综合监管等功能。做好与省低收入人口动态监测信息平台、市级数据交换平台的对接，加强与相关部门低收入人口信息系统的互联互通或者数据共享，实现我市对低收入人口开展常态化监测预警，为相关部门开展救助帮扶提供信息查询、需求推送等服务支持。各相关部门要动态更新救助帮扶信息并及时反馈至市民政局，形成“一户一条救助链”，切实提高救助精准度。</w:t>
      </w:r>
    </w:p>
    <w:p w14:paraId="411D916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责任单位：市民政局、市数据局，市直社会救助相关部门</w:t>
      </w:r>
    </w:p>
    <w:p w14:paraId="2499700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4.完善低收入人口数据库。坚持“应入尽入”原则，将被认定的低收入人口相关信息全量纳入数据库，同时将不符合低保、特困人员救助供养条件的申请对象，退出低保、特困人员救助供养不满两年的对象，以及相关部门掌握的其他困难人员信息纳入低收入人口数据库。依托低收入人口动态监测信息平台，通过申请人自主申报、入户走访、数据比对等方式，采集低收入人口相关数据信息，做到分层管理、定期更新、动态调整，确保信息完整准确、真实可靠。</w:t>
      </w:r>
    </w:p>
    <w:p w14:paraId="432AF45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责任单位：市民政局</w:t>
      </w:r>
    </w:p>
    <w:p w14:paraId="4A7061E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5.强化低收入人口动态监测。运用大数据赋能社会救助“政策找人”，充分发挥“大数据比对+铁脚板摸排”作用，加强线上线下协同，及时、主动发现困难群众。推进线上数据比对，将低收入人口数据与教育、司法、人力资源社会保障、房产、农业农村、卫生健康、退役军人事务、应急管理、医保、工会、残联以及法院、检察院等部门掌握的相关数据进行交叉比对，动态掌握变化并进行及时预警提示。加强线下走访核查，各区、县（市）民政局可会同农业农村等部门，组织动员村（社区）网格员、社会救助经办人员、党员干部等基层力量开展走访排查，发现符合救助条件的，告知其相关救助政策，按规定及时启动救助程序。</w:t>
      </w:r>
    </w:p>
    <w:p w14:paraId="5862851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责任单位：市民政局、市数据局、市教育局、市司法局、市人力资源社会保障局、市房产局、市农业农村局、市卫生健康委、市退役军人事务局、市应急管理局、市医保局、市总工会、市残联、市法院、市检察院，各区、县（市）人民政府</w:t>
      </w:r>
    </w:p>
    <w:p w14:paraId="09E6FCD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6.分类处置预警信息。及时核查处置低收入人口动态监测预警信息，社会救助政策落实不到位的，按规定落实或推送信息至相关部门处理；发现可能符合救助条件但未纳入社会救助范围的，告知其救助政策和申办渠道，并根据实际分类推送至相关部门处理；困难情形复杂的，通过“一事一议”方式集体研究处理；发现可能不再符合救助条件的，认真核查有关情况并对符合终止条件的，及时终止救助。</w:t>
      </w:r>
    </w:p>
    <w:p w14:paraId="63DEA9B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责任单位：市民政局，各区、县（市）人民政府</w:t>
      </w:r>
    </w:p>
    <w:p w14:paraId="518BC84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（三）做好分层分类社会救助工作</w:t>
      </w:r>
    </w:p>
    <w:p w14:paraId="1766B56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7.夯实基本生活救助。对符合最低生活保障、特困人员救助供养条件的低收入人口，给予相应的最低生活保障、特困人员供养等基本生活救助。按照我市相关规定落实好重病患者、重度残疾人单人保政策。对参照单人户纳入低保范围的成年无业重度残疾人按照低保标准50%定额发放低保金。完善基本生活救助标准动态调整机制，合理调整最低生活保障、特困人员基本生活标准。按时足额发放救助资金。</w:t>
      </w:r>
    </w:p>
    <w:p w14:paraId="7616958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责任单位：市民政局，各区、县（市）人民政府</w:t>
      </w:r>
    </w:p>
    <w:p w14:paraId="2FA3899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8.完善专项社会救助。</w:t>
      </w:r>
    </w:p>
    <w:p w14:paraId="0E5F246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1）医疗救助（含疾病应急救助）。对特困人员、低保对象参加城乡居民基本医疗保险的个人缴费部分给予全额资助，对低保边缘家庭成员参加城乡居民基本医疗保险的个人缴费部分给予60%定额资助。上述群体参保后，按照规定程序和标准给予门诊救助、门诊特慢病救助和住院救助等。对符合因病致贫条件的刚性支出困难家庭成员，按照《沈阳市健全重特大疾病医疗保险和救助制度实施办法》中因病致贫重病患者医疗救助标准执行。对低保对象、特困人员、低保边缘家庭成员、刚性支出困难家庭成员、防止返贫监测对象等低收入人口发生符合疾病应急救助条件的费用，由疾病应急救助基金按规定支付。</w:t>
      </w:r>
    </w:p>
    <w:p w14:paraId="5154858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责任单位：市医保局、市卫生健康委</w:t>
      </w:r>
    </w:p>
    <w:p w14:paraId="410DBB1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2）教育救助。对符合相关学生资助条件的低保家庭、特困人员、低保边缘家庭、刚性支出困难家庭等家庭经济困难在园幼儿、在校学生，按规定采取发放助学金、生活补助、提供勤工助学岗位、助学贷款以及减免相关费用等方式，给予教育救助。</w:t>
      </w:r>
    </w:p>
    <w:p w14:paraId="2855832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责任单位：市教育局</w:t>
      </w:r>
    </w:p>
    <w:p w14:paraId="623B8DE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3）住房救助。对符合城市住房保障条件的最低生活保障家庭、分散供养特困人员、低保边缘家庭和刚性支出困难家庭，通过配租廉租房或发放租赁补贴方式给予住房救助；对符合农村危房改造条件的低保家庭、分散供养特困人员、低保边缘家庭、刚性支出困难家庭、农村易返贫致贫户、未享受过农村住房保障政策支持且依靠自身力量无法解决住房安全问题的其他脱贫户等农村危房改造对象，按照规定的分级分类标准发放农村危房改造补助资金。</w:t>
      </w:r>
    </w:p>
    <w:p w14:paraId="4E937E4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责任单位：市房产局</w:t>
      </w:r>
    </w:p>
    <w:p w14:paraId="13391EC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4）就业救助。对符合就业困难人员条件的低保对象、低保边缘家庭成员、刚性支出困难家庭成员，按规定落实贷款贴息、税费减免、培训补贴、社保补贴等政策，通过组织参加职业培训、推荐企业吸纳、帮助灵活就业、扶持自主创业、公益性岗位安置等方式，促进其尽快就业。对在毕业学年积极求职创业的低保家庭、零就业家庭、防止返贫监测对象家庭和特困人员中的高校毕业生，残疾及获得国家助学贷款的高校毕业生，给予一次性求职补贴。</w:t>
      </w:r>
    </w:p>
    <w:p w14:paraId="69A9E19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责任单位：市人力资源社会保障局</w:t>
      </w:r>
    </w:p>
    <w:p w14:paraId="7523722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5）受灾人员救助。在灾害应急救助期间，对需紧急转移安置或紧急生活救助的低保对象、特困人员、低保边缘家庭成员、刚性支出困难家庭成员等受灾人员，按照自然灾害救助政策给予相应救助。对当年因自然灾害造成基本生活困难的受灾人员，在冬春期间按规定给予冬春生活困难救助。</w:t>
      </w:r>
    </w:p>
    <w:p w14:paraId="44BAB41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责任单位：市应急管理局</w:t>
      </w:r>
    </w:p>
    <w:p w14:paraId="6C88E69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9.加强急难社会救助。对遭遇突发性、紧迫性、灾难性困难导致基本生活暂时出现严重困难的人员，取消户籍地、居住地申请限制，在急难发生地及时给予临时救助。全面落实乡镇（街道）临时救助备用金制度，情况紧急可实行“小金额先行救助”，事后补充说明情况。加强和改进生活无着的流浪乞讨人员救助管理，强化各地党委、政府属地管理责任，积极为走失人员、务工不着人员、家庭暴力受害人等离家在外的临时遇困人员提供救助。发挥县级困难群众基本生活保障工作协调机制作用，“一事一议”解决好困难群众急难问题。</w:t>
      </w:r>
    </w:p>
    <w:p w14:paraId="4DC1F33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责任单位：市民政局，各区、县（市）人民政府</w:t>
      </w:r>
    </w:p>
    <w:p w14:paraId="49A3D27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10.积极发展服务类社会救助。全面推进服务类社会救助试点工作，构建“动态监测、需求评估、资源匹配、服务精准、监管有力”的运行机制，统筹编制政府职能部门、群团组织、社会力量的服务类社会救助供给清单，有效形成救助资源合理统筹、基本需求精准对接、服务供给逐渐增加、兜底质量有效提升的服务类社会救助格局。重点针对低收入人口中的失能老年人、未成年人、残疾人、重大疾病患者等特殊困难群体，提供探访关爱、照护服务、心理疏导、链接资源等社会救助服务。</w:t>
      </w:r>
    </w:p>
    <w:p w14:paraId="7CB77AA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责任单位：市民政局，各区、县（市）人民政府</w:t>
      </w:r>
    </w:p>
    <w:p w14:paraId="717C0BE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11.做好其他救助帮扶。对符合条件的低保对象、特困人员、低保边缘家庭成员、刚性支出困难家庭成员，根据相关政策给予取暖补贴、基本殡葬费用减免、残疾儿童康复等救助。对符合规定条件的低收入人口依法提供法律援助、司法救助。做好开发式帮扶救助，对农村有劳动能力、有发展产业或务工就业意愿的低收入人口，落实开发式帮扶救助政策。</w:t>
      </w:r>
    </w:p>
    <w:p w14:paraId="7827D55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责任单位：市民政局、市房产局、市司法局、市残联、市委政法委、市法院、市检察院、市公安局、市农业农村局，各区、县（市）人民政府</w:t>
      </w:r>
    </w:p>
    <w:p w14:paraId="27D399F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12.鼓励开展慈善帮扶。依托沈阳市慈善工作协调机制，广泛动员各成员单位积极链接社会慈善资源，面向低收入人口开展多种形式的慈善帮扶活动，丰富“慈善+救助”服务场景。加强政府救助与慈善帮扶的有效衔接，促进慈善帮扶“受助方”和“施助方”的精准对接。有效拓宽募集渠道，实现“三六五随想捐，全天候爱心献”。</w:t>
      </w:r>
    </w:p>
    <w:p w14:paraId="59A9EF0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责任单位：市民政局，各区、县（市）人民政府</w:t>
      </w:r>
    </w:p>
    <w:p w14:paraId="076F271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三、组织实施</w:t>
      </w:r>
    </w:p>
    <w:p w14:paraId="3CA6828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强化党委领导、政府负责、民政牵头、部门协同、社会参与的工作机制，充分发挥市级社会救助工作协调机制、县级困难群众基本生活保障工作协调机制作用，统筹协调推进相关工作，确保各项政策落实落地落到位。压实部门责任，民政部门要统筹低收入人口认定、监测和常态化救助帮扶工作，农业农村部门负责做好健全防止返贫动态监测和帮扶机制相关工作，各有关职能部门要各司其职、密切协作，按照各自职责制定完善低收入人口救助帮扶具体政策，合理确定救助标准，落实信息汇集、数据共享工作要求，加大政策宣传和解读力度，共同做好分层分类社会救助工作。加强社会救助资金使用监管，确保按时足额发放，不得挤占、挪用、截留或者擅自扩大资金使用范围；严查优亲厚友、骗取套取等行为，确保资金真正用到困难群众身上。健全完善容错纠错机制，落实“三个区分开来”要求，激励基层干部担当作为，切实兜牢基本民生底线。</w:t>
      </w:r>
    </w:p>
    <w:p w14:paraId="7293B5E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80"/>
        <w:jc w:val="both"/>
      </w:pPr>
      <w:r>
        <w:rPr>
          <w:rFonts w:hint="eastAsia" w:ascii="微软雅黑" w:hAnsi="微软雅黑" w:eastAsia="微软雅黑" w:cs="微软雅黑"/>
          <w:i w:val="0"/>
          <w:iCs w:val="0"/>
          <w:caps w:val="0"/>
          <w:color w:val="000000"/>
          <w:spacing w:val="0"/>
          <w:sz w:val="21"/>
          <w:szCs w:val="21"/>
          <w:shd w:val="clear" w:fill="FFFFFF"/>
        </w:rPr>
        <w:t> </w:t>
      </w:r>
    </w:p>
    <w:p w14:paraId="7D919B5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both"/>
        <w:rPr>
          <w:rFonts w:hint="eastAsia" w:ascii="宋体" w:hAnsi="宋体" w:eastAsia="宋体" w:cs="宋体"/>
          <w:i w:val="0"/>
          <w:iCs w:val="0"/>
          <w:caps w:val="0"/>
          <w:color w:val="000000"/>
          <w:spacing w:val="0"/>
          <w:sz w:val="21"/>
          <w:szCs w:val="21"/>
          <w:shd w:val="clear" w:fill="FFFFFF"/>
        </w:rPr>
      </w:pPr>
      <w:r>
        <w:rPr>
          <w:rFonts w:hint="eastAsia" w:ascii="微软雅黑" w:hAnsi="微软雅黑" w:eastAsia="微软雅黑" w:cs="微软雅黑"/>
          <w:i w:val="0"/>
          <w:iCs w:val="0"/>
          <w:caps w:val="0"/>
          <w:color w:val="000000"/>
          <w:spacing w:val="0"/>
          <w:sz w:val="21"/>
          <w:szCs w:val="21"/>
          <w:shd w:val="clear" w:fill="FFFFFF"/>
        </w:rPr>
        <w:t>附件：沈阳市加强低收入人口动态监测做好分层分类社会救助工作任务清单</w:t>
      </w:r>
      <w:r>
        <w:rPr>
          <w:rFonts w:hint="eastAsia" w:ascii="宋体" w:hAnsi="宋体" w:eastAsia="宋体" w:cs="宋体"/>
          <w:i w:val="0"/>
          <w:iCs w:val="0"/>
          <w:caps w:val="0"/>
          <w:color w:val="000000"/>
          <w:spacing w:val="0"/>
          <w:sz w:val="21"/>
          <w:szCs w:val="21"/>
          <w:shd w:val="clear" w:fill="FFFFFF"/>
        </w:rPr>
        <w:t> </w:t>
      </w:r>
    </w:p>
    <w:p w14:paraId="18B1F4A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both"/>
        <w:rPr>
          <w:rFonts w:hint="eastAsia" w:ascii="宋体" w:hAnsi="宋体" w:eastAsia="宋体" w:cs="宋体"/>
          <w:i w:val="0"/>
          <w:iCs w:val="0"/>
          <w:caps w:val="0"/>
          <w:color w:val="000000"/>
          <w:spacing w:val="0"/>
          <w:sz w:val="21"/>
          <w:szCs w:val="21"/>
          <w:shd w:val="clear" w:fill="FFFFFF"/>
        </w:rPr>
      </w:pPr>
    </w:p>
    <w:p w14:paraId="2B906F3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both"/>
        <w:rPr>
          <w:rFonts w:hint="eastAsia" w:ascii="宋体" w:hAnsi="宋体" w:eastAsia="宋体" w:cs="宋体"/>
          <w:i w:val="0"/>
          <w:iCs w:val="0"/>
          <w:caps w:val="0"/>
          <w:color w:val="000000"/>
          <w:spacing w:val="0"/>
          <w:sz w:val="21"/>
          <w:szCs w:val="21"/>
          <w:shd w:val="clear" w:fill="FFFFFF"/>
        </w:rPr>
      </w:pPr>
    </w:p>
    <w:p w14:paraId="1ECA3C2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both"/>
        <w:rPr>
          <w:rFonts w:hint="eastAsia" w:ascii="宋体" w:hAnsi="宋体" w:eastAsia="宋体" w:cs="宋体"/>
          <w:i w:val="0"/>
          <w:iCs w:val="0"/>
          <w:caps w:val="0"/>
          <w:color w:val="000000"/>
          <w:spacing w:val="0"/>
          <w:sz w:val="21"/>
          <w:szCs w:val="21"/>
          <w:shd w:val="clear" w:fill="FFFFFF"/>
        </w:rPr>
      </w:pPr>
    </w:p>
    <w:p w14:paraId="61CB4A1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both"/>
        <w:rPr>
          <w:rFonts w:hint="eastAsia" w:ascii="宋体" w:hAnsi="宋体" w:eastAsia="宋体" w:cs="宋体"/>
          <w:i w:val="0"/>
          <w:iCs w:val="0"/>
          <w:caps w:val="0"/>
          <w:color w:val="000000"/>
          <w:spacing w:val="0"/>
          <w:sz w:val="21"/>
          <w:szCs w:val="21"/>
          <w:shd w:val="clear" w:fill="FFFFFF"/>
        </w:rPr>
      </w:pPr>
    </w:p>
    <w:tbl>
      <w:tblPr>
        <w:tblStyle w:val="3"/>
        <w:tblW w:w="14100" w:type="dxa"/>
        <w:tblInd w:w="0" w:type="dxa"/>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FFFFFF"/>
        <w:tblLayout w:type="autofit"/>
        <w:tblCellMar>
          <w:top w:w="0" w:type="dxa"/>
          <w:left w:w="0" w:type="dxa"/>
          <w:bottom w:w="0" w:type="dxa"/>
          <w:right w:w="0" w:type="dxa"/>
        </w:tblCellMar>
      </w:tblPr>
      <w:tblGrid>
        <w:gridCol w:w="714"/>
        <w:gridCol w:w="1215"/>
        <w:gridCol w:w="2787"/>
        <w:gridCol w:w="5597"/>
        <w:gridCol w:w="2453"/>
        <w:gridCol w:w="1334"/>
      </w:tblGrid>
      <w:tr w14:paraId="72D5577F">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615" w:hRule="atLeast"/>
        </w:trPr>
        <w:tc>
          <w:tcPr>
            <w:tcW w:w="2970" w:type="dxa"/>
            <w:gridSpan w:val="3"/>
            <w:tcBorders>
              <w:top w:val="nil"/>
              <w:left w:val="nil"/>
              <w:bottom w:val="nil"/>
              <w:right w:val="nil"/>
            </w:tcBorders>
            <w:shd w:val="clear" w:color="auto" w:fill="FFFFFF"/>
            <w:tcMar>
              <w:left w:w="105" w:type="dxa"/>
              <w:right w:w="105" w:type="dxa"/>
            </w:tcMar>
            <w:vAlign w:val="center"/>
          </w:tcPr>
          <w:p w14:paraId="2407FC0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center"/>
              <w:rPr>
                <w:rFonts w:ascii="Calibri" w:hAnsi="Calibri" w:cs="Calibri"/>
                <w:sz w:val="21"/>
                <w:szCs w:val="21"/>
              </w:rPr>
            </w:pPr>
            <w:r>
              <w:rPr>
                <w:rFonts w:ascii="黑体" w:hAnsi="宋体" w:eastAsia="黑体" w:cs="黑体"/>
                <w:i w:val="0"/>
                <w:iCs w:val="0"/>
                <w:caps w:val="0"/>
                <w:color w:val="000000"/>
                <w:spacing w:val="0"/>
                <w:sz w:val="31"/>
                <w:szCs w:val="31"/>
              </w:rPr>
              <w:t>附件</w:t>
            </w:r>
          </w:p>
        </w:tc>
        <w:tc>
          <w:tcPr>
            <w:tcW w:w="3525" w:type="dxa"/>
            <w:tcBorders>
              <w:top w:val="nil"/>
              <w:left w:val="nil"/>
              <w:bottom w:val="nil"/>
              <w:right w:val="nil"/>
            </w:tcBorders>
            <w:shd w:val="clear" w:color="auto" w:fill="FFFFFF"/>
            <w:tcMar>
              <w:left w:w="105" w:type="dxa"/>
              <w:right w:w="105" w:type="dxa"/>
            </w:tcMar>
            <w:vAlign w:val="center"/>
          </w:tcPr>
          <w:p w14:paraId="0A6664C4">
            <w:pPr>
              <w:keepNext w:val="0"/>
              <w:keepLines w:val="0"/>
              <w:widowControl/>
              <w:suppressLineNumbers w:val="0"/>
              <w:spacing w:before="0" w:beforeAutospacing="0" w:after="0" w:afterAutospacing="0"/>
              <w:ind w:left="0" w:right="0"/>
              <w:jc w:val="left"/>
              <w:rPr>
                <w:rFonts w:ascii="微软雅黑" w:hAnsi="微软雅黑" w:eastAsia="微软雅黑" w:cs="微软雅黑"/>
                <w:i w:val="0"/>
                <w:iCs w:val="0"/>
                <w:caps w:val="0"/>
                <w:color w:val="000000"/>
                <w:spacing w:val="0"/>
                <w:sz w:val="21"/>
                <w:szCs w:val="21"/>
              </w:rPr>
            </w:pPr>
          </w:p>
        </w:tc>
        <w:tc>
          <w:tcPr>
            <w:tcW w:w="1545" w:type="dxa"/>
            <w:tcBorders>
              <w:top w:val="nil"/>
              <w:left w:val="nil"/>
              <w:bottom w:val="nil"/>
              <w:right w:val="nil"/>
            </w:tcBorders>
            <w:shd w:val="clear" w:color="auto" w:fill="FFFFFF"/>
            <w:tcMar>
              <w:left w:w="105" w:type="dxa"/>
              <w:right w:w="105" w:type="dxa"/>
            </w:tcMar>
            <w:vAlign w:val="center"/>
          </w:tcPr>
          <w:p w14:paraId="588DF4D5">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i w:val="0"/>
                <w:iCs w:val="0"/>
                <w:caps w:val="0"/>
                <w:color w:val="000000"/>
                <w:spacing w:val="0"/>
                <w:sz w:val="21"/>
                <w:szCs w:val="21"/>
              </w:rPr>
            </w:pPr>
          </w:p>
        </w:tc>
        <w:tc>
          <w:tcPr>
            <w:tcW w:w="840" w:type="dxa"/>
            <w:tcBorders>
              <w:top w:val="nil"/>
              <w:left w:val="nil"/>
              <w:bottom w:val="nil"/>
              <w:right w:val="nil"/>
            </w:tcBorders>
            <w:shd w:val="clear" w:color="auto" w:fill="FFFFFF"/>
            <w:tcMar>
              <w:left w:w="105" w:type="dxa"/>
              <w:right w:w="105" w:type="dxa"/>
            </w:tcMar>
            <w:vAlign w:val="center"/>
          </w:tcPr>
          <w:p w14:paraId="3F2CAB13">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i w:val="0"/>
                <w:iCs w:val="0"/>
                <w:caps w:val="0"/>
                <w:color w:val="000000"/>
                <w:spacing w:val="0"/>
                <w:sz w:val="21"/>
                <w:szCs w:val="21"/>
              </w:rPr>
            </w:pPr>
          </w:p>
        </w:tc>
      </w:tr>
      <w:tr w14:paraId="0269BD2F">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615" w:hRule="atLeast"/>
        </w:trPr>
        <w:tc>
          <w:tcPr>
            <w:tcW w:w="8880" w:type="dxa"/>
            <w:gridSpan w:val="6"/>
            <w:tcBorders>
              <w:top w:val="nil"/>
              <w:left w:val="nil"/>
              <w:bottom w:val="nil"/>
              <w:right w:val="nil"/>
            </w:tcBorders>
            <w:shd w:val="clear" w:color="auto" w:fill="FFFFFF"/>
            <w:tcMar>
              <w:left w:w="105" w:type="dxa"/>
              <w:right w:w="105" w:type="dxa"/>
            </w:tcMar>
            <w:vAlign w:val="center"/>
          </w:tcPr>
          <w:p w14:paraId="1983F58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jc w:val="center"/>
              <w:textAlignment w:val="center"/>
              <w:rPr>
                <w:rFonts w:hint="default" w:ascii="Calibri" w:hAnsi="Calibri" w:cs="Calibri"/>
                <w:sz w:val="21"/>
                <w:szCs w:val="21"/>
              </w:rPr>
            </w:pPr>
            <w:r>
              <w:rPr>
                <w:rFonts w:ascii="方正小标宋简体" w:hAnsi="方正小标宋简体" w:eastAsia="方正小标宋简体" w:cs="方正小标宋简体"/>
                <w:i w:val="0"/>
                <w:iCs w:val="0"/>
                <w:caps w:val="0"/>
                <w:color w:val="000000"/>
                <w:spacing w:val="0"/>
                <w:sz w:val="43"/>
                <w:szCs w:val="43"/>
              </w:rPr>
              <w:t>沈阳市加强低收入人口动态监测</w:t>
            </w:r>
          </w:p>
        </w:tc>
      </w:tr>
      <w:tr w14:paraId="193A88E3">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615" w:hRule="atLeast"/>
        </w:trPr>
        <w:tc>
          <w:tcPr>
            <w:tcW w:w="8880" w:type="dxa"/>
            <w:gridSpan w:val="6"/>
            <w:tcBorders>
              <w:top w:val="nil"/>
              <w:left w:val="nil"/>
              <w:bottom w:val="nil"/>
              <w:right w:val="nil"/>
            </w:tcBorders>
            <w:shd w:val="clear" w:color="auto" w:fill="FFFFFF"/>
            <w:tcMar>
              <w:left w:w="105" w:type="dxa"/>
              <w:right w:w="105" w:type="dxa"/>
            </w:tcMar>
            <w:vAlign w:val="center"/>
          </w:tcPr>
          <w:p w14:paraId="073192E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jc w:val="center"/>
              <w:textAlignment w:val="center"/>
              <w:rPr>
                <w:rFonts w:hint="default" w:ascii="Calibri" w:hAnsi="Calibri" w:cs="Calibri"/>
                <w:sz w:val="21"/>
                <w:szCs w:val="21"/>
              </w:rPr>
            </w:pPr>
            <w:r>
              <w:rPr>
                <w:rFonts w:hint="default" w:ascii="方正小标宋简体" w:hAnsi="方正小标宋简体" w:eastAsia="方正小标宋简体" w:cs="方正小标宋简体"/>
                <w:i w:val="0"/>
                <w:iCs w:val="0"/>
                <w:caps w:val="0"/>
                <w:color w:val="000000"/>
                <w:spacing w:val="0"/>
                <w:sz w:val="43"/>
                <w:szCs w:val="43"/>
              </w:rPr>
              <w:t>做好分层分类社会救助工作任务清单</w:t>
            </w:r>
          </w:p>
        </w:tc>
      </w:tr>
      <w:tr w14:paraId="092EFD0C">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660" w:hRule="atLeast"/>
        </w:trPr>
        <w:tc>
          <w:tcPr>
            <w:tcW w:w="450" w:type="dxa"/>
            <w:tcBorders>
              <w:top w:val="single" w:color="000000" w:sz="6" w:space="0"/>
              <w:left w:val="single" w:color="000000" w:sz="6" w:space="0"/>
              <w:bottom w:val="single" w:color="000000" w:sz="6" w:space="0"/>
              <w:right w:val="single" w:color="000000" w:sz="6" w:space="0"/>
            </w:tcBorders>
            <w:shd w:val="clear" w:color="auto" w:fill="FFFFFF"/>
            <w:tcMar>
              <w:left w:w="105" w:type="dxa"/>
              <w:right w:w="105" w:type="dxa"/>
            </w:tcMar>
            <w:vAlign w:val="center"/>
          </w:tcPr>
          <w:p w14:paraId="148BC66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sz w:val="21"/>
                <w:szCs w:val="21"/>
              </w:rPr>
            </w:pPr>
            <w:r>
              <w:rPr>
                <w:rStyle w:val="5"/>
                <w:rFonts w:hint="eastAsia" w:ascii="宋体" w:hAnsi="宋体" w:eastAsia="宋体" w:cs="宋体"/>
                <w:i w:val="0"/>
                <w:iCs w:val="0"/>
                <w:caps w:val="0"/>
                <w:color w:val="000000"/>
                <w:spacing w:val="0"/>
                <w:sz w:val="19"/>
                <w:szCs w:val="19"/>
              </w:rPr>
              <w:t>序号</w:t>
            </w:r>
          </w:p>
        </w:tc>
        <w:tc>
          <w:tcPr>
            <w:tcW w:w="765" w:type="dxa"/>
            <w:tcBorders>
              <w:top w:val="single" w:color="000000" w:sz="6" w:space="0"/>
              <w:left w:val="nil"/>
              <w:bottom w:val="nil"/>
              <w:right w:val="single" w:color="000000" w:sz="6" w:space="0"/>
            </w:tcBorders>
            <w:shd w:val="clear" w:color="auto" w:fill="FFFFFF"/>
            <w:tcMar>
              <w:left w:w="105" w:type="dxa"/>
              <w:right w:w="105" w:type="dxa"/>
            </w:tcMar>
            <w:vAlign w:val="center"/>
          </w:tcPr>
          <w:p w14:paraId="1131590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sz w:val="21"/>
                <w:szCs w:val="21"/>
              </w:rPr>
            </w:pPr>
            <w:r>
              <w:rPr>
                <w:rStyle w:val="5"/>
                <w:rFonts w:hint="eastAsia" w:ascii="宋体" w:hAnsi="宋体" w:eastAsia="宋体" w:cs="宋体"/>
                <w:i w:val="0"/>
                <w:iCs w:val="0"/>
                <w:caps w:val="0"/>
                <w:color w:val="000000"/>
                <w:spacing w:val="0"/>
                <w:sz w:val="19"/>
                <w:szCs w:val="19"/>
              </w:rPr>
              <w:t>重点</w:t>
            </w:r>
          </w:p>
          <w:p w14:paraId="104D856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sz w:val="21"/>
                <w:szCs w:val="21"/>
              </w:rPr>
            </w:pPr>
            <w:r>
              <w:rPr>
                <w:rStyle w:val="5"/>
                <w:rFonts w:hint="eastAsia" w:ascii="宋体" w:hAnsi="宋体" w:eastAsia="宋体" w:cs="宋体"/>
                <w:i w:val="0"/>
                <w:iCs w:val="0"/>
                <w:caps w:val="0"/>
                <w:color w:val="000000"/>
                <w:spacing w:val="0"/>
                <w:sz w:val="19"/>
                <w:szCs w:val="19"/>
              </w:rPr>
              <w:t>任务</w:t>
            </w:r>
          </w:p>
        </w:tc>
        <w:tc>
          <w:tcPr>
            <w:tcW w:w="1755" w:type="dxa"/>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14:paraId="755B1D4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sz w:val="21"/>
                <w:szCs w:val="21"/>
              </w:rPr>
            </w:pPr>
            <w:r>
              <w:rPr>
                <w:rStyle w:val="5"/>
                <w:rFonts w:hint="eastAsia" w:ascii="宋体" w:hAnsi="宋体" w:eastAsia="宋体" w:cs="宋体"/>
                <w:i w:val="0"/>
                <w:iCs w:val="0"/>
                <w:caps w:val="0"/>
                <w:color w:val="000000"/>
                <w:spacing w:val="0"/>
                <w:sz w:val="19"/>
                <w:szCs w:val="19"/>
              </w:rPr>
              <w:t>具体任务</w:t>
            </w:r>
          </w:p>
        </w:tc>
        <w:tc>
          <w:tcPr>
            <w:tcW w:w="3525" w:type="dxa"/>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14:paraId="00CAD8A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sz w:val="21"/>
                <w:szCs w:val="21"/>
              </w:rPr>
            </w:pPr>
            <w:r>
              <w:rPr>
                <w:rStyle w:val="5"/>
                <w:rFonts w:hint="eastAsia" w:ascii="宋体" w:hAnsi="宋体" w:eastAsia="宋体" w:cs="宋体"/>
                <w:i w:val="0"/>
                <w:iCs w:val="0"/>
                <w:caps w:val="0"/>
                <w:color w:val="000000"/>
                <w:spacing w:val="0"/>
                <w:sz w:val="19"/>
                <w:szCs w:val="19"/>
              </w:rPr>
              <w:t>工作措施</w:t>
            </w:r>
          </w:p>
        </w:tc>
        <w:tc>
          <w:tcPr>
            <w:tcW w:w="1545" w:type="dxa"/>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14:paraId="54009C5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sz w:val="21"/>
                <w:szCs w:val="21"/>
              </w:rPr>
            </w:pPr>
            <w:r>
              <w:rPr>
                <w:rStyle w:val="5"/>
                <w:rFonts w:hint="eastAsia" w:ascii="宋体" w:hAnsi="宋体" w:eastAsia="宋体" w:cs="宋体"/>
                <w:i w:val="0"/>
                <w:iCs w:val="0"/>
                <w:caps w:val="0"/>
                <w:color w:val="000000"/>
                <w:spacing w:val="0"/>
                <w:sz w:val="19"/>
                <w:szCs w:val="19"/>
              </w:rPr>
              <w:t>责任单位</w:t>
            </w:r>
          </w:p>
        </w:tc>
        <w:tc>
          <w:tcPr>
            <w:tcW w:w="840" w:type="dxa"/>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14:paraId="7468511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sz w:val="21"/>
                <w:szCs w:val="21"/>
              </w:rPr>
            </w:pPr>
            <w:r>
              <w:rPr>
                <w:rStyle w:val="5"/>
                <w:rFonts w:hint="eastAsia" w:ascii="宋体" w:hAnsi="宋体" w:eastAsia="宋体" w:cs="宋体"/>
                <w:i w:val="0"/>
                <w:iCs w:val="0"/>
                <w:caps w:val="0"/>
                <w:color w:val="000000"/>
                <w:spacing w:val="0"/>
                <w:sz w:val="19"/>
                <w:szCs w:val="19"/>
              </w:rPr>
              <w:t>完成</w:t>
            </w:r>
          </w:p>
          <w:p w14:paraId="094FC87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sz w:val="21"/>
                <w:szCs w:val="21"/>
              </w:rPr>
            </w:pPr>
            <w:r>
              <w:rPr>
                <w:rStyle w:val="5"/>
                <w:rFonts w:hint="eastAsia" w:ascii="宋体" w:hAnsi="宋体" w:eastAsia="宋体" w:cs="宋体"/>
                <w:i w:val="0"/>
                <w:iCs w:val="0"/>
                <w:caps w:val="0"/>
                <w:color w:val="000000"/>
                <w:spacing w:val="0"/>
                <w:sz w:val="19"/>
                <w:szCs w:val="19"/>
              </w:rPr>
              <w:t>时限</w:t>
            </w:r>
          </w:p>
        </w:tc>
      </w:tr>
      <w:tr w14:paraId="01C44E19">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1680" w:hRule="atLeast"/>
        </w:trPr>
        <w:tc>
          <w:tcPr>
            <w:tcW w:w="450" w:type="dxa"/>
            <w:tcBorders>
              <w:top w:val="nil"/>
              <w:left w:val="single" w:color="000000" w:sz="6" w:space="0"/>
              <w:bottom w:val="single" w:color="000000" w:sz="6" w:space="0"/>
              <w:right w:val="single" w:color="000000" w:sz="6" w:space="0"/>
            </w:tcBorders>
            <w:shd w:val="clear" w:color="auto" w:fill="FFFFFF"/>
            <w:tcMar>
              <w:left w:w="105" w:type="dxa"/>
              <w:right w:w="105" w:type="dxa"/>
            </w:tcMar>
            <w:vAlign w:val="center"/>
          </w:tcPr>
          <w:p w14:paraId="5CB64BE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22"/>
                <w:szCs w:val="22"/>
              </w:rPr>
              <w:t>1</w:t>
            </w:r>
          </w:p>
        </w:tc>
        <w:tc>
          <w:tcPr>
            <w:tcW w:w="765" w:type="dxa"/>
            <w:vMerge w:val="restart"/>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14:paraId="1F92FF6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22"/>
                <w:szCs w:val="22"/>
              </w:rPr>
              <w:t>精准认定低收入人口</w:t>
            </w:r>
          </w:p>
        </w:tc>
        <w:tc>
          <w:tcPr>
            <w:tcW w:w="1755" w:type="dxa"/>
            <w:vMerge w:val="restart"/>
            <w:tcBorders>
              <w:top w:val="nil"/>
              <w:left w:val="nil"/>
              <w:bottom w:val="single" w:color="000000" w:sz="6" w:space="0"/>
              <w:right w:val="single" w:color="000000" w:sz="6" w:space="0"/>
            </w:tcBorders>
            <w:shd w:val="clear" w:color="auto" w:fill="FFFFFF"/>
            <w:tcMar>
              <w:left w:w="105" w:type="dxa"/>
              <w:right w:w="105" w:type="dxa"/>
            </w:tcMar>
            <w:vAlign w:val="center"/>
          </w:tcPr>
          <w:p w14:paraId="1FC313B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合理确定范围，将低保对象、特困人员、防止返贫监测对象、低保边缘家庭成员，刚性支出困难家庭成员，以及其他困难成员纳入低收入人口保障范围。</w:t>
            </w:r>
          </w:p>
        </w:tc>
        <w:tc>
          <w:tcPr>
            <w:tcW w:w="352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59FB992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民政部门按照我市相关规定审核确认低保对象、特困人员、低保边缘家庭成员和刚性支出困难家庭成员。</w:t>
            </w:r>
          </w:p>
        </w:tc>
        <w:tc>
          <w:tcPr>
            <w:tcW w:w="154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6CE68E6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市民政局，   各区、县（市）人民政府</w:t>
            </w:r>
          </w:p>
        </w:tc>
        <w:tc>
          <w:tcPr>
            <w:tcW w:w="840"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3E1B32E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长期  推进</w:t>
            </w:r>
          </w:p>
        </w:tc>
      </w:tr>
      <w:tr w14:paraId="2228E7E2">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1845" w:hRule="atLeast"/>
        </w:trPr>
        <w:tc>
          <w:tcPr>
            <w:tcW w:w="450" w:type="dxa"/>
            <w:tcBorders>
              <w:top w:val="nil"/>
              <w:left w:val="single" w:color="000000" w:sz="6" w:space="0"/>
              <w:bottom w:val="single" w:color="000000" w:sz="6" w:space="0"/>
              <w:right w:val="single" w:color="000000" w:sz="6" w:space="0"/>
            </w:tcBorders>
            <w:shd w:val="clear" w:color="auto" w:fill="FFFFFF"/>
            <w:tcMar>
              <w:left w:w="105" w:type="dxa"/>
              <w:right w:w="105" w:type="dxa"/>
            </w:tcMar>
            <w:vAlign w:val="center"/>
          </w:tcPr>
          <w:p w14:paraId="672D8F1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22"/>
                <w:szCs w:val="22"/>
              </w:rPr>
              <w:t>2</w:t>
            </w:r>
          </w:p>
        </w:tc>
        <w:tc>
          <w:tcPr>
            <w:tcW w:w="765" w:type="dxa"/>
            <w:vMerge w:val="continue"/>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14:paraId="65B4917A">
            <w:pPr>
              <w:rPr>
                <w:rFonts w:hint="eastAsia" w:ascii="微软雅黑" w:hAnsi="微软雅黑" w:eastAsia="微软雅黑" w:cs="微软雅黑"/>
                <w:i w:val="0"/>
                <w:iCs w:val="0"/>
                <w:caps w:val="0"/>
                <w:color w:val="000000"/>
                <w:spacing w:val="0"/>
                <w:sz w:val="21"/>
                <w:szCs w:val="21"/>
              </w:rPr>
            </w:pPr>
          </w:p>
        </w:tc>
        <w:tc>
          <w:tcPr>
            <w:tcW w:w="1755" w:type="dxa"/>
            <w:vMerge w:val="continue"/>
            <w:tcBorders>
              <w:top w:val="nil"/>
              <w:left w:val="nil"/>
              <w:bottom w:val="single" w:color="000000" w:sz="6" w:space="0"/>
              <w:right w:val="single" w:color="000000" w:sz="6" w:space="0"/>
            </w:tcBorders>
            <w:shd w:val="clear" w:color="auto" w:fill="FFFFFF"/>
            <w:tcMar>
              <w:left w:w="105" w:type="dxa"/>
              <w:right w:w="105" w:type="dxa"/>
            </w:tcMar>
            <w:vAlign w:val="center"/>
          </w:tcPr>
          <w:p w14:paraId="3010F948">
            <w:pPr>
              <w:rPr>
                <w:rFonts w:hint="eastAsia" w:ascii="微软雅黑" w:hAnsi="微软雅黑" w:eastAsia="微软雅黑" w:cs="微软雅黑"/>
                <w:i w:val="0"/>
                <w:iCs w:val="0"/>
                <w:caps w:val="0"/>
                <w:color w:val="000000"/>
                <w:spacing w:val="0"/>
                <w:sz w:val="21"/>
                <w:szCs w:val="21"/>
              </w:rPr>
            </w:pPr>
          </w:p>
        </w:tc>
        <w:tc>
          <w:tcPr>
            <w:tcW w:w="352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66C3827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农业农村部门按照相关规定认定防止返贫监测对象。</w:t>
            </w:r>
          </w:p>
        </w:tc>
        <w:tc>
          <w:tcPr>
            <w:tcW w:w="154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5A78616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市农业农村局，各区、县（市）人民政府</w:t>
            </w:r>
          </w:p>
        </w:tc>
        <w:tc>
          <w:tcPr>
            <w:tcW w:w="840"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0DDC438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长期  推进</w:t>
            </w:r>
          </w:p>
        </w:tc>
      </w:tr>
      <w:tr w14:paraId="51054B05">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2265" w:hRule="atLeast"/>
        </w:trPr>
        <w:tc>
          <w:tcPr>
            <w:tcW w:w="450" w:type="dxa"/>
            <w:tcBorders>
              <w:top w:val="nil"/>
              <w:left w:val="single" w:color="000000" w:sz="6" w:space="0"/>
              <w:bottom w:val="single" w:color="000000" w:sz="6" w:space="0"/>
              <w:right w:val="single" w:color="000000" w:sz="6" w:space="0"/>
            </w:tcBorders>
            <w:shd w:val="clear" w:color="auto" w:fill="FFFFFF"/>
            <w:tcMar>
              <w:left w:w="105" w:type="dxa"/>
              <w:right w:w="105" w:type="dxa"/>
            </w:tcMar>
            <w:vAlign w:val="center"/>
          </w:tcPr>
          <w:p w14:paraId="5B561D5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22"/>
                <w:szCs w:val="22"/>
              </w:rPr>
              <w:t>3</w:t>
            </w:r>
          </w:p>
        </w:tc>
        <w:tc>
          <w:tcPr>
            <w:tcW w:w="765" w:type="dxa"/>
            <w:vMerge w:val="continue"/>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14:paraId="4891E79C">
            <w:pPr>
              <w:rPr>
                <w:rFonts w:hint="eastAsia" w:ascii="微软雅黑" w:hAnsi="微软雅黑" w:eastAsia="微软雅黑" w:cs="微软雅黑"/>
                <w:i w:val="0"/>
                <w:iCs w:val="0"/>
                <w:caps w:val="0"/>
                <w:color w:val="000000"/>
                <w:spacing w:val="0"/>
                <w:sz w:val="21"/>
                <w:szCs w:val="21"/>
              </w:rPr>
            </w:pPr>
          </w:p>
        </w:tc>
        <w:tc>
          <w:tcPr>
            <w:tcW w:w="175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1ED4881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优化认定程序，建立健全社会救助综合评估机制，加强各类低收入人口审核认定工作衔接。</w:t>
            </w:r>
          </w:p>
        </w:tc>
        <w:tc>
          <w:tcPr>
            <w:tcW w:w="352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09736F9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积极探索“一次申请、分类审核认定”的惠民便民举措，在征得申请人同意后，针对困难群众提出的申请，根据家庭经济状况调查结果，对照各类低收入人口认定条件逐类进行审核。</w:t>
            </w:r>
          </w:p>
        </w:tc>
        <w:tc>
          <w:tcPr>
            <w:tcW w:w="154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4E71965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市民政局，   各区、县（市）人民政府</w:t>
            </w:r>
          </w:p>
        </w:tc>
        <w:tc>
          <w:tcPr>
            <w:tcW w:w="840"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188B51D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长期  推进</w:t>
            </w:r>
          </w:p>
        </w:tc>
      </w:tr>
      <w:tr w14:paraId="7AAA21D8">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2520" w:hRule="atLeast"/>
        </w:trPr>
        <w:tc>
          <w:tcPr>
            <w:tcW w:w="450" w:type="dxa"/>
            <w:tcBorders>
              <w:top w:val="nil"/>
              <w:left w:val="single" w:color="000000" w:sz="6" w:space="0"/>
              <w:bottom w:val="single" w:color="000000" w:sz="6" w:space="0"/>
              <w:right w:val="single" w:color="000000" w:sz="6" w:space="0"/>
            </w:tcBorders>
            <w:shd w:val="clear" w:color="auto" w:fill="FFFFFF"/>
            <w:tcMar>
              <w:left w:w="105" w:type="dxa"/>
              <w:right w:w="105" w:type="dxa"/>
            </w:tcMar>
            <w:vAlign w:val="center"/>
          </w:tcPr>
          <w:p w14:paraId="799B225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22"/>
                <w:szCs w:val="22"/>
              </w:rPr>
              <w:t>4</w:t>
            </w:r>
          </w:p>
        </w:tc>
        <w:tc>
          <w:tcPr>
            <w:tcW w:w="765" w:type="dxa"/>
            <w:vMerge w:val="restart"/>
            <w:tcBorders>
              <w:top w:val="nil"/>
              <w:left w:val="nil"/>
              <w:bottom w:val="nil"/>
              <w:right w:val="single" w:color="000000" w:sz="6" w:space="0"/>
            </w:tcBorders>
            <w:shd w:val="clear" w:color="auto" w:fill="FFFFFF"/>
            <w:tcMar>
              <w:left w:w="105" w:type="dxa"/>
              <w:right w:w="105" w:type="dxa"/>
            </w:tcMar>
            <w:vAlign w:val="center"/>
          </w:tcPr>
          <w:p w14:paraId="5B84452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22"/>
                <w:szCs w:val="22"/>
              </w:rPr>
              <w:t>全面加强低收入人口动态监测</w:t>
            </w:r>
          </w:p>
        </w:tc>
        <w:tc>
          <w:tcPr>
            <w:tcW w:w="1755" w:type="dxa"/>
            <w:vMerge w:val="restart"/>
            <w:tcBorders>
              <w:top w:val="nil"/>
              <w:left w:val="nil"/>
              <w:bottom w:val="single" w:color="000000" w:sz="6" w:space="0"/>
              <w:right w:val="single" w:color="000000" w:sz="6" w:space="0"/>
            </w:tcBorders>
            <w:shd w:val="clear" w:color="auto" w:fill="FFFFFF"/>
            <w:tcMar>
              <w:left w:w="105" w:type="dxa"/>
              <w:right w:w="105" w:type="dxa"/>
            </w:tcMar>
            <w:vAlign w:val="center"/>
          </w:tcPr>
          <w:p w14:paraId="51BC3BF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建设动态监测信息平台，实现低收入人口数据共享、预警监测、需求推送、综合监管等功能。</w:t>
            </w:r>
          </w:p>
        </w:tc>
        <w:tc>
          <w:tcPr>
            <w:tcW w:w="352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381DF24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做好与省低收入人口动态监测信息平台、市级数据交换平台的对接，加强与相关部门低收入人口信息系统的互联互通或者数据共享，为相关部门开展救助帮扶提供信息查询、需求推送等服务支持。</w:t>
            </w:r>
          </w:p>
        </w:tc>
        <w:tc>
          <w:tcPr>
            <w:tcW w:w="154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05E2BE0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市民政局、   市数据局</w:t>
            </w:r>
          </w:p>
        </w:tc>
        <w:tc>
          <w:tcPr>
            <w:tcW w:w="840"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7499D36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2025年6月底</w:t>
            </w:r>
          </w:p>
        </w:tc>
      </w:tr>
      <w:tr w14:paraId="50EE4062">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1200" w:hRule="atLeast"/>
        </w:trPr>
        <w:tc>
          <w:tcPr>
            <w:tcW w:w="450" w:type="dxa"/>
            <w:tcBorders>
              <w:top w:val="nil"/>
              <w:left w:val="single" w:color="000000" w:sz="6" w:space="0"/>
              <w:bottom w:val="single" w:color="000000" w:sz="6" w:space="0"/>
              <w:right w:val="single" w:color="000000" w:sz="6" w:space="0"/>
            </w:tcBorders>
            <w:shd w:val="clear" w:color="auto" w:fill="FFFFFF"/>
            <w:tcMar>
              <w:left w:w="105" w:type="dxa"/>
              <w:right w:w="105" w:type="dxa"/>
            </w:tcMar>
            <w:vAlign w:val="center"/>
          </w:tcPr>
          <w:p w14:paraId="191634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sz w:val="21"/>
                <w:szCs w:val="21"/>
              </w:rPr>
            </w:pPr>
            <w:r>
              <w:rPr>
                <w:rFonts w:hint="default" w:ascii="Calibri" w:hAnsi="Calibri" w:eastAsia="微软雅黑" w:cs="Calibri"/>
                <w:i w:val="0"/>
                <w:iCs w:val="0"/>
                <w:caps w:val="0"/>
                <w:color w:val="000000"/>
                <w:spacing w:val="0"/>
                <w:sz w:val="21"/>
                <w:szCs w:val="21"/>
              </w:rPr>
              <w:t>5</w:t>
            </w:r>
          </w:p>
        </w:tc>
        <w:tc>
          <w:tcPr>
            <w:tcW w:w="765" w:type="dxa"/>
            <w:vMerge w:val="continue"/>
            <w:tcBorders>
              <w:top w:val="nil"/>
              <w:left w:val="nil"/>
              <w:bottom w:val="nil"/>
              <w:right w:val="single" w:color="000000" w:sz="6" w:space="0"/>
            </w:tcBorders>
            <w:shd w:val="clear" w:color="auto" w:fill="FFFFFF"/>
            <w:tcMar>
              <w:left w:w="105" w:type="dxa"/>
              <w:right w:w="105" w:type="dxa"/>
            </w:tcMar>
            <w:vAlign w:val="center"/>
          </w:tcPr>
          <w:p w14:paraId="48919BCC">
            <w:pPr>
              <w:rPr>
                <w:rFonts w:hint="eastAsia" w:ascii="微软雅黑" w:hAnsi="微软雅黑" w:eastAsia="微软雅黑" w:cs="微软雅黑"/>
                <w:i w:val="0"/>
                <w:iCs w:val="0"/>
                <w:caps w:val="0"/>
                <w:color w:val="000000"/>
                <w:spacing w:val="0"/>
                <w:sz w:val="21"/>
                <w:szCs w:val="21"/>
              </w:rPr>
            </w:pPr>
          </w:p>
        </w:tc>
        <w:tc>
          <w:tcPr>
            <w:tcW w:w="1755" w:type="dxa"/>
            <w:vMerge w:val="continue"/>
            <w:tcBorders>
              <w:top w:val="nil"/>
              <w:left w:val="nil"/>
              <w:bottom w:val="single" w:color="000000" w:sz="6" w:space="0"/>
              <w:right w:val="single" w:color="000000" w:sz="6" w:space="0"/>
            </w:tcBorders>
            <w:shd w:val="clear" w:color="auto" w:fill="FFFFFF"/>
            <w:tcMar>
              <w:left w:w="105" w:type="dxa"/>
              <w:right w:w="105" w:type="dxa"/>
            </w:tcMar>
            <w:vAlign w:val="center"/>
          </w:tcPr>
          <w:p w14:paraId="0F50653E">
            <w:pPr>
              <w:rPr>
                <w:rFonts w:hint="eastAsia" w:ascii="微软雅黑" w:hAnsi="微软雅黑" w:eastAsia="微软雅黑" w:cs="微软雅黑"/>
                <w:i w:val="0"/>
                <w:iCs w:val="0"/>
                <w:caps w:val="0"/>
                <w:color w:val="000000"/>
                <w:spacing w:val="0"/>
                <w:sz w:val="21"/>
                <w:szCs w:val="21"/>
              </w:rPr>
            </w:pPr>
          </w:p>
        </w:tc>
        <w:tc>
          <w:tcPr>
            <w:tcW w:w="352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5A88773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动态更新救助帮扶信息并及时反馈至市民政局，形成“一户一条救助链”。</w:t>
            </w:r>
          </w:p>
        </w:tc>
        <w:tc>
          <w:tcPr>
            <w:tcW w:w="154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3A262B5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市民政局、   市直社会救助相关部门</w:t>
            </w:r>
          </w:p>
        </w:tc>
        <w:tc>
          <w:tcPr>
            <w:tcW w:w="840"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4C9117A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长期  推进</w:t>
            </w:r>
          </w:p>
        </w:tc>
      </w:tr>
      <w:tr w14:paraId="33DEB875">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2715" w:hRule="atLeast"/>
        </w:trPr>
        <w:tc>
          <w:tcPr>
            <w:tcW w:w="450" w:type="dxa"/>
            <w:tcBorders>
              <w:top w:val="nil"/>
              <w:left w:val="single" w:color="000000" w:sz="6" w:space="0"/>
              <w:bottom w:val="single" w:color="000000" w:sz="6" w:space="0"/>
              <w:right w:val="single" w:color="000000" w:sz="6" w:space="0"/>
            </w:tcBorders>
            <w:shd w:val="clear" w:color="auto" w:fill="FFFFFF"/>
            <w:tcMar>
              <w:left w:w="105" w:type="dxa"/>
              <w:right w:w="105" w:type="dxa"/>
            </w:tcMar>
            <w:vAlign w:val="center"/>
          </w:tcPr>
          <w:p w14:paraId="3C71E2A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22"/>
                <w:szCs w:val="22"/>
              </w:rPr>
              <w:t>6</w:t>
            </w:r>
          </w:p>
        </w:tc>
        <w:tc>
          <w:tcPr>
            <w:tcW w:w="765" w:type="dxa"/>
            <w:vMerge w:val="restart"/>
            <w:tcBorders>
              <w:top w:val="nil"/>
              <w:left w:val="nil"/>
              <w:bottom w:val="single" w:color="000000" w:sz="6" w:space="0"/>
              <w:right w:val="single" w:color="000000" w:sz="6" w:space="0"/>
            </w:tcBorders>
            <w:shd w:val="clear" w:color="auto" w:fill="FFFFFF"/>
            <w:tcMar>
              <w:left w:w="105" w:type="dxa"/>
              <w:right w:w="105" w:type="dxa"/>
            </w:tcMar>
            <w:vAlign w:val="center"/>
          </w:tcPr>
          <w:p w14:paraId="462F539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22"/>
                <w:szCs w:val="22"/>
              </w:rPr>
              <w:t>全面加强低收入人口动态监测</w:t>
            </w:r>
          </w:p>
        </w:tc>
        <w:tc>
          <w:tcPr>
            <w:tcW w:w="1755" w:type="dxa"/>
            <w:vMerge w:val="restart"/>
            <w:tcBorders>
              <w:top w:val="nil"/>
              <w:left w:val="nil"/>
              <w:bottom w:val="single" w:color="000000" w:sz="6" w:space="0"/>
              <w:right w:val="single" w:color="000000" w:sz="6" w:space="0"/>
            </w:tcBorders>
            <w:shd w:val="clear" w:color="auto" w:fill="FFFFFF"/>
            <w:tcMar>
              <w:left w:w="105" w:type="dxa"/>
              <w:right w:w="105" w:type="dxa"/>
            </w:tcMar>
            <w:vAlign w:val="center"/>
          </w:tcPr>
          <w:p w14:paraId="67129F7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完善低收入人口数据库，做到低收入人口信息分层管理、定期更新、动态调整，确保信息完整准确、真实可靠。</w:t>
            </w:r>
          </w:p>
        </w:tc>
        <w:tc>
          <w:tcPr>
            <w:tcW w:w="352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2138A1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将被认定的低收入人口相关信息全量纳入数据库，同时将不符合低保、特困人员救助供养条件的申请对象，退出低保、特困人员救助供养不满两年的对象，以及相关部门掌握的其他困难人员信息纳入低收入人口数据库。</w:t>
            </w:r>
          </w:p>
        </w:tc>
        <w:tc>
          <w:tcPr>
            <w:tcW w:w="154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52EF8EA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市民政局</w:t>
            </w:r>
          </w:p>
        </w:tc>
        <w:tc>
          <w:tcPr>
            <w:tcW w:w="840"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0D1E8BA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2025年6月底</w:t>
            </w:r>
          </w:p>
        </w:tc>
      </w:tr>
      <w:tr w14:paraId="0295D0E2">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1770" w:hRule="atLeast"/>
        </w:trPr>
        <w:tc>
          <w:tcPr>
            <w:tcW w:w="450" w:type="dxa"/>
            <w:tcBorders>
              <w:top w:val="nil"/>
              <w:left w:val="single" w:color="000000" w:sz="6" w:space="0"/>
              <w:bottom w:val="single" w:color="000000" w:sz="6" w:space="0"/>
              <w:right w:val="single" w:color="000000" w:sz="6" w:space="0"/>
            </w:tcBorders>
            <w:shd w:val="clear" w:color="auto" w:fill="FFFFFF"/>
            <w:tcMar>
              <w:left w:w="105" w:type="dxa"/>
              <w:right w:w="105" w:type="dxa"/>
            </w:tcMar>
            <w:vAlign w:val="center"/>
          </w:tcPr>
          <w:p w14:paraId="1F41AD2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22"/>
                <w:szCs w:val="22"/>
              </w:rPr>
              <w:t>7</w:t>
            </w:r>
          </w:p>
        </w:tc>
        <w:tc>
          <w:tcPr>
            <w:tcW w:w="765" w:type="dxa"/>
            <w:vMerge w:val="continue"/>
            <w:tcBorders>
              <w:top w:val="nil"/>
              <w:left w:val="nil"/>
              <w:bottom w:val="single" w:color="000000" w:sz="6" w:space="0"/>
              <w:right w:val="single" w:color="000000" w:sz="6" w:space="0"/>
            </w:tcBorders>
            <w:shd w:val="clear" w:color="auto" w:fill="FFFFFF"/>
            <w:tcMar>
              <w:left w:w="105" w:type="dxa"/>
              <w:right w:w="105" w:type="dxa"/>
            </w:tcMar>
            <w:vAlign w:val="center"/>
          </w:tcPr>
          <w:p w14:paraId="05553BCC">
            <w:pPr>
              <w:rPr>
                <w:rFonts w:hint="eastAsia" w:ascii="微软雅黑" w:hAnsi="微软雅黑" w:eastAsia="微软雅黑" w:cs="微软雅黑"/>
                <w:i w:val="0"/>
                <w:iCs w:val="0"/>
                <w:caps w:val="0"/>
                <w:color w:val="000000"/>
                <w:spacing w:val="0"/>
                <w:sz w:val="21"/>
                <w:szCs w:val="21"/>
              </w:rPr>
            </w:pPr>
          </w:p>
        </w:tc>
        <w:tc>
          <w:tcPr>
            <w:tcW w:w="1755" w:type="dxa"/>
            <w:vMerge w:val="continue"/>
            <w:tcBorders>
              <w:top w:val="nil"/>
              <w:left w:val="nil"/>
              <w:bottom w:val="single" w:color="000000" w:sz="6" w:space="0"/>
              <w:right w:val="single" w:color="000000" w:sz="6" w:space="0"/>
            </w:tcBorders>
            <w:shd w:val="clear" w:color="auto" w:fill="FFFFFF"/>
            <w:tcMar>
              <w:left w:w="105" w:type="dxa"/>
              <w:right w:w="105" w:type="dxa"/>
            </w:tcMar>
            <w:vAlign w:val="center"/>
          </w:tcPr>
          <w:p w14:paraId="7733EB1F">
            <w:pPr>
              <w:rPr>
                <w:rFonts w:hint="eastAsia" w:ascii="微软雅黑" w:hAnsi="微软雅黑" w:eastAsia="微软雅黑" w:cs="微软雅黑"/>
                <w:i w:val="0"/>
                <w:iCs w:val="0"/>
                <w:caps w:val="0"/>
                <w:color w:val="000000"/>
                <w:spacing w:val="0"/>
                <w:sz w:val="21"/>
                <w:szCs w:val="21"/>
              </w:rPr>
            </w:pPr>
          </w:p>
        </w:tc>
        <w:tc>
          <w:tcPr>
            <w:tcW w:w="352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5B0B304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default" w:ascii="Calibri" w:hAnsi="Calibri" w:eastAsia="微软雅黑" w:cs="Calibri"/>
                <w:i w:val="0"/>
                <w:iCs w:val="0"/>
                <w:caps w:val="0"/>
                <w:color w:val="000000"/>
                <w:spacing w:val="0"/>
                <w:sz w:val="21"/>
                <w:szCs w:val="21"/>
              </w:rPr>
              <w:t>依托低收入人口动态监测信息平台，通过申请人自主申报、入户走访、数据比对等方式，采集低收入人口相关数据信息。</w:t>
            </w:r>
          </w:p>
        </w:tc>
        <w:tc>
          <w:tcPr>
            <w:tcW w:w="154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66AF7CA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市民政局</w:t>
            </w:r>
          </w:p>
        </w:tc>
        <w:tc>
          <w:tcPr>
            <w:tcW w:w="840"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1E60FE8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textAlignment w:val="center"/>
              <w:rPr>
                <w:rFonts w:hint="default" w:ascii="Calibri" w:hAnsi="Calibri" w:cs="Calibri"/>
                <w:sz w:val="21"/>
                <w:szCs w:val="21"/>
              </w:rPr>
            </w:pPr>
            <w:r>
              <w:rPr>
                <w:rFonts w:hint="default" w:ascii="Calibri" w:hAnsi="Calibri" w:eastAsia="微软雅黑" w:cs="Calibri"/>
                <w:i w:val="0"/>
                <w:iCs w:val="0"/>
                <w:caps w:val="0"/>
                <w:color w:val="000000"/>
                <w:spacing w:val="0"/>
                <w:sz w:val="21"/>
                <w:szCs w:val="21"/>
              </w:rPr>
              <w:t>长期  推进</w:t>
            </w:r>
          </w:p>
        </w:tc>
      </w:tr>
      <w:tr w14:paraId="1E5177DB">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5565" w:hRule="atLeast"/>
        </w:trPr>
        <w:tc>
          <w:tcPr>
            <w:tcW w:w="450" w:type="dxa"/>
            <w:tcBorders>
              <w:top w:val="nil"/>
              <w:left w:val="single" w:color="000000" w:sz="6" w:space="0"/>
              <w:bottom w:val="single" w:color="000000" w:sz="6" w:space="0"/>
              <w:right w:val="single" w:color="000000" w:sz="6" w:space="0"/>
            </w:tcBorders>
            <w:shd w:val="clear" w:color="auto" w:fill="FFFFFF"/>
            <w:tcMar>
              <w:left w:w="105" w:type="dxa"/>
              <w:right w:w="105" w:type="dxa"/>
            </w:tcMar>
            <w:vAlign w:val="center"/>
          </w:tcPr>
          <w:p w14:paraId="7B2962E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22"/>
                <w:szCs w:val="22"/>
              </w:rPr>
              <w:t>8</w:t>
            </w:r>
          </w:p>
        </w:tc>
        <w:tc>
          <w:tcPr>
            <w:tcW w:w="765" w:type="dxa"/>
            <w:vMerge w:val="continue"/>
            <w:tcBorders>
              <w:top w:val="nil"/>
              <w:left w:val="nil"/>
              <w:bottom w:val="single" w:color="000000" w:sz="6" w:space="0"/>
              <w:right w:val="single" w:color="000000" w:sz="6" w:space="0"/>
            </w:tcBorders>
            <w:shd w:val="clear" w:color="auto" w:fill="FFFFFF"/>
            <w:tcMar>
              <w:left w:w="105" w:type="dxa"/>
              <w:right w:w="105" w:type="dxa"/>
            </w:tcMar>
            <w:vAlign w:val="center"/>
          </w:tcPr>
          <w:p w14:paraId="03CA5A7E">
            <w:pPr>
              <w:rPr>
                <w:rFonts w:hint="eastAsia" w:ascii="微软雅黑" w:hAnsi="微软雅黑" w:eastAsia="微软雅黑" w:cs="微软雅黑"/>
                <w:i w:val="0"/>
                <w:iCs w:val="0"/>
                <w:caps w:val="0"/>
                <w:color w:val="000000"/>
                <w:spacing w:val="0"/>
                <w:sz w:val="21"/>
                <w:szCs w:val="21"/>
              </w:rPr>
            </w:pPr>
          </w:p>
        </w:tc>
        <w:tc>
          <w:tcPr>
            <w:tcW w:w="1755" w:type="dxa"/>
            <w:vMerge w:val="restart"/>
            <w:tcBorders>
              <w:top w:val="nil"/>
              <w:left w:val="nil"/>
              <w:bottom w:val="single" w:color="000000" w:sz="6" w:space="0"/>
              <w:right w:val="single" w:color="000000" w:sz="6" w:space="0"/>
            </w:tcBorders>
            <w:shd w:val="clear" w:color="auto" w:fill="FFFFFF"/>
            <w:tcMar>
              <w:left w:w="105" w:type="dxa"/>
              <w:right w:w="105" w:type="dxa"/>
            </w:tcMar>
            <w:vAlign w:val="center"/>
          </w:tcPr>
          <w:p w14:paraId="6C26677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强化低收入人口动态监测，充分发挥“大数据比对+铁脚板摸排”作用，加强线上线下协同，及时、主动发现困难群众。</w:t>
            </w:r>
          </w:p>
        </w:tc>
        <w:tc>
          <w:tcPr>
            <w:tcW w:w="352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6DFB28F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运用大数据赋能社会救助“政策找人”，推进线上数据比对，将低收入人口数据与教育、司法、人力资源社会保障、房产、农业农村、卫生健康、退役军人事务、应急管理、医保、工会、残联以及法院、检察院等部门掌握的相关数据进行交叉比对，动态掌握变化并进行及时预警提示。</w:t>
            </w:r>
          </w:p>
        </w:tc>
        <w:tc>
          <w:tcPr>
            <w:tcW w:w="154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503151D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市民政局、市数据局、市教育局、市司法局、市人力资源社会保障局、市房产局、市农业农村局、市卫生健康委、市退役军人事务局、市应急管理局、市医保局、市总工会、市残联、市法院、市检察院</w:t>
            </w:r>
          </w:p>
        </w:tc>
        <w:tc>
          <w:tcPr>
            <w:tcW w:w="840"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370BE97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长期  推进</w:t>
            </w:r>
          </w:p>
        </w:tc>
      </w:tr>
      <w:tr w14:paraId="2A92FAF9">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2145" w:hRule="atLeast"/>
        </w:trPr>
        <w:tc>
          <w:tcPr>
            <w:tcW w:w="450" w:type="dxa"/>
            <w:tcBorders>
              <w:top w:val="nil"/>
              <w:left w:val="single" w:color="000000" w:sz="6" w:space="0"/>
              <w:bottom w:val="single" w:color="000000" w:sz="6" w:space="0"/>
              <w:right w:val="single" w:color="000000" w:sz="6" w:space="0"/>
            </w:tcBorders>
            <w:shd w:val="clear" w:color="auto" w:fill="FFFFFF"/>
            <w:tcMar>
              <w:left w:w="105" w:type="dxa"/>
              <w:right w:w="105" w:type="dxa"/>
            </w:tcMar>
            <w:vAlign w:val="center"/>
          </w:tcPr>
          <w:p w14:paraId="3EFBB5D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22"/>
                <w:szCs w:val="22"/>
              </w:rPr>
              <w:t>9</w:t>
            </w:r>
          </w:p>
        </w:tc>
        <w:tc>
          <w:tcPr>
            <w:tcW w:w="765" w:type="dxa"/>
            <w:vMerge w:val="continue"/>
            <w:tcBorders>
              <w:top w:val="nil"/>
              <w:left w:val="nil"/>
              <w:bottom w:val="single" w:color="000000" w:sz="6" w:space="0"/>
              <w:right w:val="single" w:color="000000" w:sz="6" w:space="0"/>
            </w:tcBorders>
            <w:shd w:val="clear" w:color="auto" w:fill="FFFFFF"/>
            <w:tcMar>
              <w:left w:w="105" w:type="dxa"/>
              <w:right w:w="105" w:type="dxa"/>
            </w:tcMar>
            <w:vAlign w:val="center"/>
          </w:tcPr>
          <w:p w14:paraId="3FBC47E7">
            <w:pPr>
              <w:rPr>
                <w:rFonts w:hint="eastAsia" w:ascii="微软雅黑" w:hAnsi="微软雅黑" w:eastAsia="微软雅黑" w:cs="微软雅黑"/>
                <w:i w:val="0"/>
                <w:iCs w:val="0"/>
                <w:caps w:val="0"/>
                <w:color w:val="000000"/>
                <w:spacing w:val="0"/>
                <w:sz w:val="21"/>
                <w:szCs w:val="21"/>
              </w:rPr>
            </w:pPr>
          </w:p>
        </w:tc>
        <w:tc>
          <w:tcPr>
            <w:tcW w:w="1755" w:type="dxa"/>
            <w:vMerge w:val="continue"/>
            <w:tcBorders>
              <w:top w:val="nil"/>
              <w:left w:val="nil"/>
              <w:bottom w:val="single" w:color="000000" w:sz="6" w:space="0"/>
              <w:right w:val="single" w:color="000000" w:sz="6" w:space="0"/>
            </w:tcBorders>
            <w:shd w:val="clear" w:color="auto" w:fill="FFFFFF"/>
            <w:tcMar>
              <w:left w:w="105" w:type="dxa"/>
              <w:right w:w="105" w:type="dxa"/>
            </w:tcMar>
            <w:vAlign w:val="center"/>
          </w:tcPr>
          <w:p w14:paraId="651FC392">
            <w:pPr>
              <w:rPr>
                <w:rFonts w:hint="eastAsia" w:ascii="微软雅黑" w:hAnsi="微软雅黑" w:eastAsia="微软雅黑" w:cs="微软雅黑"/>
                <w:i w:val="0"/>
                <w:iCs w:val="0"/>
                <w:caps w:val="0"/>
                <w:color w:val="000000"/>
                <w:spacing w:val="0"/>
                <w:sz w:val="21"/>
                <w:szCs w:val="21"/>
              </w:rPr>
            </w:pPr>
          </w:p>
        </w:tc>
        <w:tc>
          <w:tcPr>
            <w:tcW w:w="352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66B344E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加强线下走访核查，各地区组织动员村（社区）网格员、社会救助经办人员、党员干部等基层力量开展走访排查，发现符合救助条件的告知相关救助政策，按规定及时启动救助程序。</w:t>
            </w:r>
          </w:p>
        </w:tc>
        <w:tc>
          <w:tcPr>
            <w:tcW w:w="154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3CDCE15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市民政局，   各区、县（市）人民政府</w:t>
            </w:r>
          </w:p>
        </w:tc>
        <w:tc>
          <w:tcPr>
            <w:tcW w:w="840"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0FC9B16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长期  推进</w:t>
            </w:r>
          </w:p>
        </w:tc>
      </w:tr>
      <w:tr w14:paraId="115DDC96">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3945" w:hRule="atLeast"/>
        </w:trPr>
        <w:tc>
          <w:tcPr>
            <w:tcW w:w="450" w:type="dxa"/>
            <w:tcBorders>
              <w:top w:val="nil"/>
              <w:left w:val="single" w:color="000000" w:sz="6" w:space="0"/>
              <w:bottom w:val="single" w:color="000000" w:sz="6" w:space="0"/>
              <w:right w:val="single" w:color="000000" w:sz="6" w:space="0"/>
            </w:tcBorders>
            <w:shd w:val="clear" w:color="auto" w:fill="FFFFFF"/>
            <w:tcMar>
              <w:left w:w="105" w:type="dxa"/>
              <w:right w:w="105" w:type="dxa"/>
            </w:tcMar>
            <w:vAlign w:val="center"/>
          </w:tcPr>
          <w:p w14:paraId="0428B4B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22"/>
                <w:szCs w:val="22"/>
              </w:rPr>
              <w:t>10</w:t>
            </w:r>
          </w:p>
        </w:tc>
        <w:tc>
          <w:tcPr>
            <w:tcW w:w="76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1443596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22"/>
                <w:szCs w:val="22"/>
              </w:rPr>
              <w:t>全面加强低收入人口动态监测</w:t>
            </w:r>
          </w:p>
        </w:tc>
        <w:tc>
          <w:tcPr>
            <w:tcW w:w="175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677E4C2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预警信息分类处置，及时核查处置低收入人口动态监测预警信息。</w:t>
            </w:r>
          </w:p>
        </w:tc>
        <w:tc>
          <w:tcPr>
            <w:tcW w:w="352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581811A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对社会救助政策落实不到位的，按规定落实或推送信息至相关部门处理；发现可能符合救助条件但未纳入社会救助范围的，告知其救助政策和申办渠道，并根据实际分类推送至相关部门处理；困难情形复杂的通过“一事一议”方式集体研究处理；发现可能不再符合救助条件的，认真核查有关情况并对符合终止条件的，及时终止救助。</w:t>
            </w:r>
          </w:p>
        </w:tc>
        <w:tc>
          <w:tcPr>
            <w:tcW w:w="154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72F9F46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市民政局，   各区、县（市）人民政府</w:t>
            </w:r>
          </w:p>
        </w:tc>
        <w:tc>
          <w:tcPr>
            <w:tcW w:w="840"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37FEF2C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长期  推进</w:t>
            </w:r>
          </w:p>
        </w:tc>
      </w:tr>
      <w:tr w14:paraId="21C48B68">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1890" w:hRule="atLeast"/>
        </w:trPr>
        <w:tc>
          <w:tcPr>
            <w:tcW w:w="450" w:type="dxa"/>
            <w:tcBorders>
              <w:top w:val="nil"/>
              <w:left w:val="single" w:color="000000" w:sz="6" w:space="0"/>
              <w:bottom w:val="single" w:color="000000" w:sz="6" w:space="0"/>
              <w:right w:val="single" w:color="000000" w:sz="6" w:space="0"/>
            </w:tcBorders>
            <w:shd w:val="clear" w:color="auto" w:fill="FFFFFF"/>
            <w:tcMar>
              <w:left w:w="105" w:type="dxa"/>
              <w:right w:w="105" w:type="dxa"/>
            </w:tcMar>
            <w:vAlign w:val="center"/>
          </w:tcPr>
          <w:p w14:paraId="3DB802D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22"/>
                <w:szCs w:val="22"/>
              </w:rPr>
              <w:t>11</w:t>
            </w:r>
          </w:p>
        </w:tc>
        <w:tc>
          <w:tcPr>
            <w:tcW w:w="765" w:type="dxa"/>
            <w:vMerge w:val="restart"/>
            <w:tcBorders>
              <w:top w:val="nil"/>
              <w:left w:val="nil"/>
              <w:bottom w:val="single" w:color="000000" w:sz="6" w:space="0"/>
              <w:right w:val="single" w:color="000000" w:sz="6" w:space="0"/>
            </w:tcBorders>
            <w:shd w:val="clear" w:color="auto" w:fill="FFFFFF"/>
            <w:tcMar>
              <w:left w:w="105" w:type="dxa"/>
              <w:right w:w="105" w:type="dxa"/>
            </w:tcMar>
            <w:vAlign w:val="center"/>
          </w:tcPr>
          <w:p w14:paraId="3C0B5EE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22"/>
                <w:szCs w:val="22"/>
              </w:rPr>
              <w:t>做好分层分类社会救助工作</w:t>
            </w:r>
          </w:p>
        </w:tc>
        <w:tc>
          <w:tcPr>
            <w:tcW w:w="1755" w:type="dxa"/>
            <w:vMerge w:val="restart"/>
            <w:tcBorders>
              <w:top w:val="nil"/>
              <w:left w:val="nil"/>
              <w:bottom w:val="single" w:color="000000" w:sz="6" w:space="0"/>
              <w:right w:val="single" w:color="000000" w:sz="6" w:space="0"/>
            </w:tcBorders>
            <w:shd w:val="clear" w:color="auto" w:fill="FFFFFF"/>
            <w:tcMar>
              <w:left w:w="105" w:type="dxa"/>
              <w:right w:w="105" w:type="dxa"/>
            </w:tcMar>
            <w:vAlign w:val="center"/>
          </w:tcPr>
          <w:p w14:paraId="6E3BCE6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夯实基本生活救助，按时足额发放救助资金。</w:t>
            </w:r>
          </w:p>
        </w:tc>
        <w:tc>
          <w:tcPr>
            <w:tcW w:w="352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7BE0647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对符合最低生活保障、特困人员救助供养条件的低收入人口，给予相应的最低生活保障、特困人员供养等基本生活救助。</w:t>
            </w:r>
          </w:p>
        </w:tc>
        <w:tc>
          <w:tcPr>
            <w:tcW w:w="154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215467C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市民政局，   各区、县（市）人民政府</w:t>
            </w:r>
          </w:p>
        </w:tc>
        <w:tc>
          <w:tcPr>
            <w:tcW w:w="840"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0D2E1E9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长期  推进</w:t>
            </w:r>
          </w:p>
        </w:tc>
      </w:tr>
      <w:tr w14:paraId="03A230C0">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1935" w:hRule="atLeast"/>
        </w:trPr>
        <w:tc>
          <w:tcPr>
            <w:tcW w:w="450" w:type="dxa"/>
            <w:tcBorders>
              <w:top w:val="nil"/>
              <w:left w:val="single" w:color="000000" w:sz="6" w:space="0"/>
              <w:bottom w:val="single" w:color="000000" w:sz="6" w:space="0"/>
              <w:right w:val="single" w:color="000000" w:sz="6" w:space="0"/>
            </w:tcBorders>
            <w:shd w:val="clear" w:color="auto" w:fill="FFFFFF"/>
            <w:tcMar>
              <w:left w:w="105" w:type="dxa"/>
              <w:right w:w="105" w:type="dxa"/>
            </w:tcMar>
            <w:vAlign w:val="center"/>
          </w:tcPr>
          <w:p w14:paraId="7F927AE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22"/>
                <w:szCs w:val="22"/>
              </w:rPr>
              <w:t>12</w:t>
            </w:r>
          </w:p>
        </w:tc>
        <w:tc>
          <w:tcPr>
            <w:tcW w:w="765" w:type="dxa"/>
            <w:vMerge w:val="continue"/>
            <w:tcBorders>
              <w:top w:val="nil"/>
              <w:left w:val="nil"/>
              <w:bottom w:val="single" w:color="000000" w:sz="6" w:space="0"/>
              <w:right w:val="single" w:color="000000" w:sz="6" w:space="0"/>
            </w:tcBorders>
            <w:shd w:val="clear" w:color="auto" w:fill="FFFFFF"/>
            <w:tcMar>
              <w:left w:w="105" w:type="dxa"/>
              <w:right w:w="105" w:type="dxa"/>
            </w:tcMar>
            <w:vAlign w:val="center"/>
          </w:tcPr>
          <w:p w14:paraId="082F8C93">
            <w:pPr>
              <w:rPr>
                <w:rFonts w:hint="eastAsia" w:ascii="微软雅黑" w:hAnsi="微软雅黑" w:eastAsia="微软雅黑" w:cs="微软雅黑"/>
                <w:i w:val="0"/>
                <w:iCs w:val="0"/>
                <w:caps w:val="0"/>
                <w:color w:val="000000"/>
                <w:spacing w:val="0"/>
                <w:sz w:val="21"/>
                <w:szCs w:val="21"/>
              </w:rPr>
            </w:pPr>
          </w:p>
        </w:tc>
        <w:tc>
          <w:tcPr>
            <w:tcW w:w="1755" w:type="dxa"/>
            <w:vMerge w:val="continue"/>
            <w:tcBorders>
              <w:top w:val="nil"/>
              <w:left w:val="nil"/>
              <w:bottom w:val="single" w:color="000000" w:sz="6" w:space="0"/>
              <w:right w:val="single" w:color="000000" w:sz="6" w:space="0"/>
            </w:tcBorders>
            <w:shd w:val="clear" w:color="auto" w:fill="FFFFFF"/>
            <w:tcMar>
              <w:left w:w="105" w:type="dxa"/>
              <w:right w:w="105" w:type="dxa"/>
            </w:tcMar>
            <w:vAlign w:val="center"/>
          </w:tcPr>
          <w:p w14:paraId="5A5E9114">
            <w:pPr>
              <w:rPr>
                <w:rFonts w:hint="eastAsia" w:ascii="微软雅黑" w:hAnsi="微软雅黑" w:eastAsia="微软雅黑" w:cs="微软雅黑"/>
                <w:i w:val="0"/>
                <w:iCs w:val="0"/>
                <w:caps w:val="0"/>
                <w:color w:val="000000"/>
                <w:spacing w:val="0"/>
                <w:sz w:val="21"/>
                <w:szCs w:val="21"/>
              </w:rPr>
            </w:pPr>
          </w:p>
        </w:tc>
        <w:tc>
          <w:tcPr>
            <w:tcW w:w="352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3DCD8C2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完善基本生活救助标准动态调整机制，合理调整最低生活保障、特困人员基本生活标准。</w:t>
            </w:r>
          </w:p>
        </w:tc>
        <w:tc>
          <w:tcPr>
            <w:tcW w:w="154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664407D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市民政局，   各区、县（市）人民政府</w:t>
            </w:r>
          </w:p>
        </w:tc>
        <w:tc>
          <w:tcPr>
            <w:tcW w:w="840"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7EAF0C2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长期    推进</w:t>
            </w:r>
          </w:p>
        </w:tc>
      </w:tr>
      <w:tr w14:paraId="3BCD7F24">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2085" w:hRule="atLeast"/>
        </w:trPr>
        <w:tc>
          <w:tcPr>
            <w:tcW w:w="450" w:type="dxa"/>
            <w:tcBorders>
              <w:top w:val="nil"/>
              <w:left w:val="single" w:color="000000" w:sz="6" w:space="0"/>
              <w:bottom w:val="single" w:color="000000" w:sz="6" w:space="0"/>
              <w:right w:val="single" w:color="000000" w:sz="6" w:space="0"/>
            </w:tcBorders>
            <w:shd w:val="clear" w:color="auto" w:fill="FFFFFF"/>
            <w:tcMar>
              <w:left w:w="105" w:type="dxa"/>
              <w:right w:w="105" w:type="dxa"/>
            </w:tcMar>
            <w:vAlign w:val="center"/>
          </w:tcPr>
          <w:p w14:paraId="4F2FF3D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22"/>
                <w:szCs w:val="22"/>
              </w:rPr>
              <w:t>13</w:t>
            </w:r>
          </w:p>
        </w:tc>
        <w:tc>
          <w:tcPr>
            <w:tcW w:w="765" w:type="dxa"/>
            <w:vMerge w:val="continue"/>
            <w:tcBorders>
              <w:top w:val="nil"/>
              <w:left w:val="nil"/>
              <w:bottom w:val="single" w:color="000000" w:sz="6" w:space="0"/>
              <w:right w:val="single" w:color="000000" w:sz="6" w:space="0"/>
            </w:tcBorders>
            <w:shd w:val="clear" w:color="auto" w:fill="FFFFFF"/>
            <w:tcMar>
              <w:left w:w="105" w:type="dxa"/>
              <w:right w:w="105" w:type="dxa"/>
            </w:tcMar>
            <w:vAlign w:val="center"/>
          </w:tcPr>
          <w:p w14:paraId="37492BFE">
            <w:pPr>
              <w:rPr>
                <w:rFonts w:hint="eastAsia" w:ascii="微软雅黑" w:hAnsi="微软雅黑" w:eastAsia="微软雅黑" w:cs="微软雅黑"/>
                <w:i w:val="0"/>
                <w:iCs w:val="0"/>
                <w:caps w:val="0"/>
                <w:color w:val="000000"/>
                <w:spacing w:val="0"/>
                <w:sz w:val="21"/>
                <w:szCs w:val="21"/>
              </w:rPr>
            </w:pPr>
          </w:p>
        </w:tc>
        <w:tc>
          <w:tcPr>
            <w:tcW w:w="1755" w:type="dxa"/>
            <w:vMerge w:val="restart"/>
            <w:tcBorders>
              <w:top w:val="nil"/>
              <w:left w:val="nil"/>
              <w:bottom w:val="nil"/>
              <w:right w:val="single" w:color="000000" w:sz="6" w:space="0"/>
            </w:tcBorders>
            <w:shd w:val="clear" w:color="auto" w:fill="FFFFFF"/>
            <w:tcMar>
              <w:left w:w="105" w:type="dxa"/>
              <w:right w:w="105" w:type="dxa"/>
            </w:tcMar>
            <w:vAlign w:val="center"/>
          </w:tcPr>
          <w:p w14:paraId="40A9B62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完善专项社会救助，做好医疗救助、教育救助、住房救助、就业救助和受灾人员救助。</w:t>
            </w:r>
          </w:p>
        </w:tc>
        <w:tc>
          <w:tcPr>
            <w:tcW w:w="352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4C5425E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对符合因病致贫条件的刚性支出困难家庭成员，按照《沈阳市健全重特大疾病医疗保险和救助制度实施办法》中因病致贫重病患者医疗救助标准执行。</w:t>
            </w:r>
          </w:p>
        </w:tc>
        <w:tc>
          <w:tcPr>
            <w:tcW w:w="154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76D747A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市医保局</w:t>
            </w:r>
          </w:p>
        </w:tc>
        <w:tc>
          <w:tcPr>
            <w:tcW w:w="840"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5E30BE7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2025年4月底</w:t>
            </w:r>
          </w:p>
        </w:tc>
      </w:tr>
      <w:tr w14:paraId="63B3A8FA">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1950" w:hRule="atLeast"/>
        </w:trPr>
        <w:tc>
          <w:tcPr>
            <w:tcW w:w="450" w:type="dxa"/>
            <w:tcBorders>
              <w:top w:val="nil"/>
              <w:left w:val="single" w:color="000000" w:sz="6" w:space="0"/>
              <w:bottom w:val="single" w:color="000000" w:sz="6" w:space="0"/>
              <w:right w:val="single" w:color="000000" w:sz="6" w:space="0"/>
            </w:tcBorders>
            <w:shd w:val="clear" w:color="auto" w:fill="FFFFFF"/>
            <w:tcMar>
              <w:left w:w="105" w:type="dxa"/>
              <w:right w:w="105" w:type="dxa"/>
            </w:tcMar>
            <w:vAlign w:val="center"/>
          </w:tcPr>
          <w:p w14:paraId="20B67B0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22"/>
                <w:szCs w:val="22"/>
              </w:rPr>
              <w:t>14</w:t>
            </w:r>
          </w:p>
        </w:tc>
        <w:tc>
          <w:tcPr>
            <w:tcW w:w="765" w:type="dxa"/>
            <w:vMerge w:val="continue"/>
            <w:tcBorders>
              <w:top w:val="nil"/>
              <w:left w:val="nil"/>
              <w:bottom w:val="single" w:color="000000" w:sz="6" w:space="0"/>
              <w:right w:val="single" w:color="000000" w:sz="6" w:space="0"/>
            </w:tcBorders>
            <w:shd w:val="clear" w:color="auto" w:fill="FFFFFF"/>
            <w:tcMar>
              <w:left w:w="105" w:type="dxa"/>
              <w:right w:w="105" w:type="dxa"/>
            </w:tcMar>
            <w:vAlign w:val="center"/>
          </w:tcPr>
          <w:p w14:paraId="2519C803">
            <w:pPr>
              <w:rPr>
                <w:rFonts w:hint="eastAsia" w:ascii="微软雅黑" w:hAnsi="微软雅黑" w:eastAsia="微软雅黑" w:cs="微软雅黑"/>
                <w:i w:val="0"/>
                <w:iCs w:val="0"/>
                <w:caps w:val="0"/>
                <w:color w:val="000000"/>
                <w:spacing w:val="0"/>
                <w:sz w:val="21"/>
                <w:szCs w:val="21"/>
              </w:rPr>
            </w:pPr>
          </w:p>
        </w:tc>
        <w:tc>
          <w:tcPr>
            <w:tcW w:w="1755" w:type="dxa"/>
            <w:vMerge w:val="continue"/>
            <w:tcBorders>
              <w:top w:val="nil"/>
              <w:left w:val="nil"/>
              <w:bottom w:val="nil"/>
              <w:right w:val="single" w:color="000000" w:sz="6" w:space="0"/>
            </w:tcBorders>
            <w:shd w:val="clear" w:color="auto" w:fill="FFFFFF"/>
            <w:tcMar>
              <w:left w:w="105" w:type="dxa"/>
              <w:right w:w="105" w:type="dxa"/>
            </w:tcMar>
            <w:vAlign w:val="center"/>
          </w:tcPr>
          <w:p w14:paraId="77893645">
            <w:pPr>
              <w:rPr>
                <w:rFonts w:hint="eastAsia" w:ascii="微软雅黑" w:hAnsi="微软雅黑" w:eastAsia="微软雅黑" w:cs="微软雅黑"/>
                <w:i w:val="0"/>
                <w:iCs w:val="0"/>
                <w:caps w:val="0"/>
                <w:color w:val="000000"/>
                <w:spacing w:val="0"/>
                <w:sz w:val="21"/>
                <w:szCs w:val="21"/>
              </w:rPr>
            </w:pPr>
          </w:p>
        </w:tc>
        <w:tc>
          <w:tcPr>
            <w:tcW w:w="352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615397A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对低收入人口发生符合疾病应急救助条件的费用，由疾病应急救助基金按规定支付。</w:t>
            </w:r>
          </w:p>
        </w:tc>
        <w:tc>
          <w:tcPr>
            <w:tcW w:w="154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3E9918C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市卫生健康委</w:t>
            </w:r>
          </w:p>
        </w:tc>
        <w:tc>
          <w:tcPr>
            <w:tcW w:w="840"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0A28DE5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长期</w:t>
            </w:r>
          </w:p>
          <w:p w14:paraId="48FDA32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推进</w:t>
            </w:r>
          </w:p>
        </w:tc>
      </w:tr>
      <w:tr w14:paraId="559B4FC2">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3960" w:hRule="atLeast"/>
        </w:trPr>
        <w:tc>
          <w:tcPr>
            <w:tcW w:w="450" w:type="dxa"/>
            <w:tcBorders>
              <w:top w:val="nil"/>
              <w:left w:val="single" w:color="000000" w:sz="6" w:space="0"/>
              <w:bottom w:val="single" w:color="000000" w:sz="6" w:space="0"/>
              <w:right w:val="single" w:color="000000" w:sz="6" w:space="0"/>
            </w:tcBorders>
            <w:shd w:val="clear" w:color="auto" w:fill="FFFFFF"/>
            <w:tcMar>
              <w:left w:w="105" w:type="dxa"/>
              <w:right w:w="105" w:type="dxa"/>
            </w:tcMar>
            <w:vAlign w:val="center"/>
          </w:tcPr>
          <w:p w14:paraId="2D38A2E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22"/>
                <w:szCs w:val="22"/>
              </w:rPr>
              <w:t>15</w:t>
            </w:r>
          </w:p>
        </w:tc>
        <w:tc>
          <w:tcPr>
            <w:tcW w:w="765" w:type="dxa"/>
            <w:vMerge w:val="restart"/>
            <w:tcBorders>
              <w:top w:val="nil"/>
              <w:left w:val="nil"/>
              <w:bottom w:val="single" w:color="000000" w:sz="6" w:space="0"/>
              <w:right w:val="single" w:color="000000" w:sz="6" w:space="0"/>
            </w:tcBorders>
            <w:shd w:val="clear" w:color="auto" w:fill="FFFFFF"/>
            <w:tcMar>
              <w:left w:w="105" w:type="dxa"/>
              <w:right w:w="105" w:type="dxa"/>
            </w:tcMar>
            <w:vAlign w:val="center"/>
          </w:tcPr>
          <w:p w14:paraId="6810476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22"/>
                <w:szCs w:val="22"/>
              </w:rPr>
              <w:t>做好分层分类社会救助工作</w:t>
            </w:r>
          </w:p>
        </w:tc>
        <w:tc>
          <w:tcPr>
            <w:tcW w:w="1755" w:type="dxa"/>
            <w:vMerge w:val="restart"/>
            <w:tcBorders>
              <w:top w:val="nil"/>
              <w:left w:val="nil"/>
              <w:bottom w:val="nil"/>
              <w:right w:val="single" w:color="000000" w:sz="6" w:space="0"/>
            </w:tcBorders>
            <w:shd w:val="clear" w:color="auto" w:fill="FFFFFF"/>
            <w:tcMar>
              <w:left w:w="105" w:type="dxa"/>
              <w:right w:w="105" w:type="dxa"/>
            </w:tcMar>
            <w:vAlign w:val="center"/>
          </w:tcPr>
          <w:p w14:paraId="0BEAF6D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rPr>
                <w:rFonts w:hint="default" w:ascii="Calibri" w:hAnsi="Calibri" w:cs="Calibri"/>
                <w:sz w:val="21"/>
                <w:szCs w:val="21"/>
              </w:rPr>
            </w:pPr>
            <w:r>
              <w:rPr>
                <w:rFonts w:hint="eastAsia" w:ascii="宋体" w:hAnsi="宋体" w:eastAsia="宋体" w:cs="宋体"/>
                <w:i w:val="0"/>
                <w:iCs w:val="0"/>
                <w:caps w:val="0"/>
                <w:color w:val="000000"/>
                <w:spacing w:val="0"/>
                <w:sz w:val="19"/>
                <w:szCs w:val="19"/>
              </w:rPr>
              <w:t>完善专项社会救助，做好医疗救助、教育救助、住房救助、就业救助和受灾人员救助。</w:t>
            </w:r>
          </w:p>
        </w:tc>
        <w:tc>
          <w:tcPr>
            <w:tcW w:w="352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678F9FF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学前教育阶段对符合条件的家庭经济困难幼儿按规定提供入园资助；义务教育阶段对符合条件的家庭经济困难学生按规定发放生活补助；普通高中及中等职业教育阶段对符合条件的家庭经济困难学生按规定免除学（杂）费、发放国家助学金；高等教育阶段对符合条件的家庭经济困难学生按规定发放国家助学金、提供勤工助学岗位、助学贷款等。</w:t>
            </w:r>
          </w:p>
        </w:tc>
        <w:tc>
          <w:tcPr>
            <w:tcW w:w="154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12B0FE6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市教育局</w:t>
            </w:r>
          </w:p>
        </w:tc>
        <w:tc>
          <w:tcPr>
            <w:tcW w:w="840"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5FE5D43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长期</w:t>
            </w:r>
          </w:p>
          <w:p w14:paraId="4E0538E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推进</w:t>
            </w:r>
          </w:p>
        </w:tc>
      </w:tr>
      <w:tr w14:paraId="52ECBBB5">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2265" w:hRule="atLeast"/>
        </w:trPr>
        <w:tc>
          <w:tcPr>
            <w:tcW w:w="450" w:type="dxa"/>
            <w:tcBorders>
              <w:top w:val="nil"/>
              <w:left w:val="single" w:color="000000" w:sz="6" w:space="0"/>
              <w:bottom w:val="single" w:color="000000" w:sz="6" w:space="0"/>
              <w:right w:val="single" w:color="000000" w:sz="6" w:space="0"/>
            </w:tcBorders>
            <w:shd w:val="clear" w:color="auto" w:fill="FFFFFF"/>
            <w:tcMar>
              <w:left w:w="105" w:type="dxa"/>
              <w:right w:w="105" w:type="dxa"/>
            </w:tcMar>
            <w:vAlign w:val="center"/>
          </w:tcPr>
          <w:p w14:paraId="22D7728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22"/>
                <w:szCs w:val="22"/>
              </w:rPr>
              <w:t>16</w:t>
            </w:r>
          </w:p>
        </w:tc>
        <w:tc>
          <w:tcPr>
            <w:tcW w:w="765" w:type="dxa"/>
            <w:vMerge w:val="continue"/>
            <w:tcBorders>
              <w:top w:val="nil"/>
              <w:left w:val="nil"/>
              <w:bottom w:val="single" w:color="000000" w:sz="6" w:space="0"/>
              <w:right w:val="single" w:color="000000" w:sz="6" w:space="0"/>
            </w:tcBorders>
            <w:shd w:val="clear" w:color="auto" w:fill="FFFFFF"/>
            <w:tcMar>
              <w:left w:w="105" w:type="dxa"/>
              <w:right w:w="105" w:type="dxa"/>
            </w:tcMar>
            <w:vAlign w:val="center"/>
          </w:tcPr>
          <w:p w14:paraId="60A0F3F2">
            <w:pPr>
              <w:rPr>
                <w:rFonts w:hint="eastAsia" w:ascii="微软雅黑" w:hAnsi="微软雅黑" w:eastAsia="微软雅黑" w:cs="微软雅黑"/>
                <w:i w:val="0"/>
                <w:iCs w:val="0"/>
                <w:caps w:val="0"/>
                <w:color w:val="000000"/>
                <w:spacing w:val="0"/>
                <w:sz w:val="21"/>
                <w:szCs w:val="21"/>
              </w:rPr>
            </w:pPr>
          </w:p>
        </w:tc>
        <w:tc>
          <w:tcPr>
            <w:tcW w:w="1755" w:type="dxa"/>
            <w:vMerge w:val="continue"/>
            <w:tcBorders>
              <w:top w:val="nil"/>
              <w:left w:val="nil"/>
              <w:bottom w:val="nil"/>
              <w:right w:val="single" w:color="000000" w:sz="6" w:space="0"/>
            </w:tcBorders>
            <w:shd w:val="clear" w:color="auto" w:fill="FFFFFF"/>
            <w:tcMar>
              <w:left w:w="105" w:type="dxa"/>
              <w:right w:w="105" w:type="dxa"/>
            </w:tcMar>
            <w:vAlign w:val="center"/>
          </w:tcPr>
          <w:p w14:paraId="3B1E4571">
            <w:pPr>
              <w:rPr>
                <w:rFonts w:hint="eastAsia" w:ascii="微软雅黑" w:hAnsi="微软雅黑" w:eastAsia="微软雅黑" w:cs="微软雅黑"/>
                <w:i w:val="0"/>
                <w:iCs w:val="0"/>
                <w:caps w:val="0"/>
                <w:color w:val="000000"/>
                <w:spacing w:val="0"/>
                <w:sz w:val="21"/>
                <w:szCs w:val="21"/>
              </w:rPr>
            </w:pPr>
          </w:p>
        </w:tc>
        <w:tc>
          <w:tcPr>
            <w:tcW w:w="352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74763AB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对符合城市住房保障条件的最低生活保障家庭、分散供养特困人员、低保边缘家庭和刚性支出困难家庭，通过配租廉租房或发放租赁补贴方式给予住房救助。</w:t>
            </w:r>
          </w:p>
        </w:tc>
        <w:tc>
          <w:tcPr>
            <w:tcW w:w="154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74C3BF5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市房产局</w:t>
            </w:r>
          </w:p>
        </w:tc>
        <w:tc>
          <w:tcPr>
            <w:tcW w:w="840"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06F16BD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长期</w:t>
            </w:r>
          </w:p>
          <w:p w14:paraId="7982251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推进</w:t>
            </w:r>
          </w:p>
        </w:tc>
      </w:tr>
      <w:tr w14:paraId="46421482">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3465" w:hRule="atLeast"/>
        </w:trPr>
        <w:tc>
          <w:tcPr>
            <w:tcW w:w="450" w:type="dxa"/>
            <w:tcBorders>
              <w:top w:val="nil"/>
              <w:left w:val="single" w:color="000000" w:sz="6" w:space="0"/>
              <w:bottom w:val="single" w:color="000000" w:sz="6" w:space="0"/>
              <w:right w:val="single" w:color="000000" w:sz="6" w:space="0"/>
            </w:tcBorders>
            <w:shd w:val="clear" w:color="auto" w:fill="FFFFFF"/>
            <w:tcMar>
              <w:left w:w="105" w:type="dxa"/>
              <w:right w:w="105" w:type="dxa"/>
            </w:tcMar>
            <w:vAlign w:val="center"/>
          </w:tcPr>
          <w:p w14:paraId="58EE8A1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22"/>
                <w:szCs w:val="22"/>
              </w:rPr>
              <w:t>17</w:t>
            </w:r>
          </w:p>
        </w:tc>
        <w:tc>
          <w:tcPr>
            <w:tcW w:w="765" w:type="dxa"/>
            <w:vMerge w:val="continue"/>
            <w:tcBorders>
              <w:top w:val="nil"/>
              <w:left w:val="nil"/>
              <w:bottom w:val="single" w:color="000000" w:sz="6" w:space="0"/>
              <w:right w:val="single" w:color="000000" w:sz="6" w:space="0"/>
            </w:tcBorders>
            <w:shd w:val="clear" w:color="auto" w:fill="FFFFFF"/>
            <w:tcMar>
              <w:left w:w="105" w:type="dxa"/>
              <w:right w:w="105" w:type="dxa"/>
            </w:tcMar>
            <w:vAlign w:val="center"/>
          </w:tcPr>
          <w:p w14:paraId="0F79D1EB">
            <w:pPr>
              <w:rPr>
                <w:rFonts w:hint="eastAsia" w:ascii="微软雅黑" w:hAnsi="微软雅黑" w:eastAsia="微软雅黑" w:cs="微软雅黑"/>
                <w:i w:val="0"/>
                <w:iCs w:val="0"/>
                <w:caps w:val="0"/>
                <w:color w:val="000000"/>
                <w:spacing w:val="0"/>
                <w:sz w:val="21"/>
                <w:szCs w:val="21"/>
              </w:rPr>
            </w:pPr>
          </w:p>
        </w:tc>
        <w:tc>
          <w:tcPr>
            <w:tcW w:w="1755" w:type="dxa"/>
            <w:vMerge w:val="continue"/>
            <w:tcBorders>
              <w:top w:val="nil"/>
              <w:left w:val="nil"/>
              <w:bottom w:val="nil"/>
              <w:right w:val="single" w:color="000000" w:sz="6" w:space="0"/>
            </w:tcBorders>
            <w:shd w:val="clear" w:color="auto" w:fill="FFFFFF"/>
            <w:tcMar>
              <w:left w:w="105" w:type="dxa"/>
              <w:right w:w="105" w:type="dxa"/>
            </w:tcMar>
            <w:vAlign w:val="center"/>
          </w:tcPr>
          <w:p w14:paraId="45C6B8B1">
            <w:pPr>
              <w:rPr>
                <w:rFonts w:hint="eastAsia" w:ascii="微软雅黑" w:hAnsi="微软雅黑" w:eastAsia="微软雅黑" w:cs="微软雅黑"/>
                <w:i w:val="0"/>
                <w:iCs w:val="0"/>
                <w:caps w:val="0"/>
                <w:color w:val="000000"/>
                <w:spacing w:val="0"/>
                <w:sz w:val="21"/>
                <w:szCs w:val="21"/>
              </w:rPr>
            </w:pPr>
          </w:p>
        </w:tc>
        <w:tc>
          <w:tcPr>
            <w:tcW w:w="352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18F2F08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对符合农村危房改造条件的低保家庭、分散供养特困人员、低保边缘家庭、刚性支出困难家庭、农村易返贫致贫户、未享受过农村住房保障政策支持且依靠自身力量无法解决住房安全问题的其他脱贫户等农村危房改造对象，按照规定的分级分类标准发放农村危房改造补助资金。</w:t>
            </w:r>
          </w:p>
        </w:tc>
        <w:tc>
          <w:tcPr>
            <w:tcW w:w="154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79EBACD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市房产局</w:t>
            </w:r>
          </w:p>
        </w:tc>
        <w:tc>
          <w:tcPr>
            <w:tcW w:w="840"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1218D2D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长期</w:t>
            </w:r>
          </w:p>
          <w:p w14:paraId="4044E43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推进</w:t>
            </w:r>
          </w:p>
        </w:tc>
      </w:tr>
      <w:tr w14:paraId="1A016AF3">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2760" w:hRule="atLeast"/>
        </w:trPr>
        <w:tc>
          <w:tcPr>
            <w:tcW w:w="450" w:type="dxa"/>
            <w:tcBorders>
              <w:top w:val="nil"/>
              <w:left w:val="single" w:color="000000" w:sz="6" w:space="0"/>
              <w:bottom w:val="single" w:color="000000" w:sz="6" w:space="0"/>
              <w:right w:val="single" w:color="000000" w:sz="6" w:space="0"/>
            </w:tcBorders>
            <w:shd w:val="clear" w:color="auto" w:fill="FFFFFF"/>
            <w:tcMar>
              <w:left w:w="105" w:type="dxa"/>
              <w:right w:w="105" w:type="dxa"/>
            </w:tcMar>
            <w:vAlign w:val="center"/>
          </w:tcPr>
          <w:p w14:paraId="1FB82B7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22"/>
                <w:szCs w:val="22"/>
              </w:rPr>
              <w:t>18</w:t>
            </w:r>
          </w:p>
        </w:tc>
        <w:tc>
          <w:tcPr>
            <w:tcW w:w="765" w:type="dxa"/>
            <w:vMerge w:val="continue"/>
            <w:tcBorders>
              <w:top w:val="nil"/>
              <w:left w:val="nil"/>
              <w:bottom w:val="single" w:color="000000" w:sz="6" w:space="0"/>
              <w:right w:val="single" w:color="000000" w:sz="6" w:space="0"/>
            </w:tcBorders>
            <w:shd w:val="clear" w:color="auto" w:fill="FFFFFF"/>
            <w:tcMar>
              <w:left w:w="105" w:type="dxa"/>
              <w:right w:w="105" w:type="dxa"/>
            </w:tcMar>
            <w:vAlign w:val="center"/>
          </w:tcPr>
          <w:p w14:paraId="5535B8A0">
            <w:pPr>
              <w:rPr>
                <w:rFonts w:hint="eastAsia" w:ascii="微软雅黑" w:hAnsi="微软雅黑" w:eastAsia="微软雅黑" w:cs="微软雅黑"/>
                <w:i w:val="0"/>
                <w:iCs w:val="0"/>
                <w:caps w:val="0"/>
                <w:color w:val="000000"/>
                <w:spacing w:val="0"/>
                <w:sz w:val="21"/>
                <w:szCs w:val="21"/>
              </w:rPr>
            </w:pPr>
          </w:p>
        </w:tc>
        <w:tc>
          <w:tcPr>
            <w:tcW w:w="1755" w:type="dxa"/>
            <w:vMerge w:val="continue"/>
            <w:tcBorders>
              <w:top w:val="nil"/>
              <w:left w:val="nil"/>
              <w:bottom w:val="nil"/>
              <w:right w:val="single" w:color="000000" w:sz="6" w:space="0"/>
            </w:tcBorders>
            <w:shd w:val="clear" w:color="auto" w:fill="FFFFFF"/>
            <w:tcMar>
              <w:left w:w="105" w:type="dxa"/>
              <w:right w:w="105" w:type="dxa"/>
            </w:tcMar>
            <w:vAlign w:val="center"/>
          </w:tcPr>
          <w:p w14:paraId="5E158966">
            <w:pPr>
              <w:rPr>
                <w:rFonts w:hint="eastAsia" w:ascii="微软雅黑" w:hAnsi="微软雅黑" w:eastAsia="微软雅黑" w:cs="微软雅黑"/>
                <w:i w:val="0"/>
                <w:iCs w:val="0"/>
                <w:caps w:val="0"/>
                <w:color w:val="000000"/>
                <w:spacing w:val="0"/>
                <w:sz w:val="21"/>
                <w:szCs w:val="21"/>
              </w:rPr>
            </w:pPr>
          </w:p>
        </w:tc>
        <w:tc>
          <w:tcPr>
            <w:tcW w:w="352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2B4FD77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对符合就业困难人员条件的低保对象、低保边缘家庭成员、刚性支出困难家庭成员，通过组织参加职业培训、推荐企业吸纳、帮助灵活就业、扶持自主创业、公益性岗位安置等方式，促进其尽快就业。</w:t>
            </w:r>
          </w:p>
        </w:tc>
        <w:tc>
          <w:tcPr>
            <w:tcW w:w="154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76BDE81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市人力资源社会保障局</w:t>
            </w:r>
          </w:p>
        </w:tc>
        <w:tc>
          <w:tcPr>
            <w:tcW w:w="840"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775EB03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长期</w:t>
            </w:r>
          </w:p>
          <w:p w14:paraId="26D8B24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推进</w:t>
            </w:r>
          </w:p>
        </w:tc>
      </w:tr>
      <w:tr w14:paraId="63C8C339">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1980" w:hRule="atLeast"/>
        </w:trPr>
        <w:tc>
          <w:tcPr>
            <w:tcW w:w="450" w:type="dxa"/>
            <w:tcBorders>
              <w:top w:val="nil"/>
              <w:left w:val="single" w:color="000000" w:sz="6" w:space="0"/>
              <w:bottom w:val="single" w:color="000000" w:sz="6" w:space="0"/>
              <w:right w:val="single" w:color="000000" w:sz="6" w:space="0"/>
            </w:tcBorders>
            <w:shd w:val="clear" w:color="auto" w:fill="FFFFFF"/>
            <w:tcMar>
              <w:left w:w="105" w:type="dxa"/>
              <w:right w:w="105" w:type="dxa"/>
            </w:tcMar>
            <w:vAlign w:val="center"/>
          </w:tcPr>
          <w:p w14:paraId="4255201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22"/>
                <w:szCs w:val="22"/>
              </w:rPr>
              <w:t>19</w:t>
            </w:r>
          </w:p>
        </w:tc>
        <w:tc>
          <w:tcPr>
            <w:tcW w:w="765" w:type="dxa"/>
            <w:vMerge w:val="restart"/>
            <w:tcBorders>
              <w:top w:val="nil"/>
              <w:left w:val="nil"/>
              <w:bottom w:val="single" w:color="000000" w:sz="6" w:space="0"/>
              <w:right w:val="single" w:color="000000" w:sz="6" w:space="0"/>
            </w:tcBorders>
            <w:shd w:val="clear" w:color="auto" w:fill="FFFFFF"/>
            <w:tcMar>
              <w:left w:w="105" w:type="dxa"/>
              <w:right w:w="105" w:type="dxa"/>
            </w:tcMar>
            <w:vAlign w:val="center"/>
          </w:tcPr>
          <w:p w14:paraId="0DDEB3C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22"/>
                <w:szCs w:val="22"/>
              </w:rPr>
              <w:t>做好分层分类社会救助工作</w:t>
            </w:r>
          </w:p>
        </w:tc>
        <w:tc>
          <w:tcPr>
            <w:tcW w:w="1755" w:type="dxa"/>
            <w:vMerge w:val="restart"/>
            <w:tcBorders>
              <w:top w:val="nil"/>
              <w:left w:val="nil"/>
              <w:bottom w:val="nil"/>
              <w:right w:val="single" w:color="000000" w:sz="6" w:space="0"/>
            </w:tcBorders>
            <w:shd w:val="clear" w:color="auto" w:fill="FFFFFF"/>
            <w:tcMar>
              <w:left w:w="105" w:type="dxa"/>
              <w:right w:w="105" w:type="dxa"/>
            </w:tcMar>
            <w:vAlign w:val="center"/>
          </w:tcPr>
          <w:p w14:paraId="7AB2DE6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rPr>
                <w:rFonts w:hint="default" w:ascii="Calibri" w:hAnsi="Calibri" w:cs="Calibri"/>
                <w:sz w:val="21"/>
                <w:szCs w:val="21"/>
              </w:rPr>
            </w:pPr>
            <w:r>
              <w:rPr>
                <w:rFonts w:hint="eastAsia" w:ascii="宋体" w:hAnsi="宋体" w:eastAsia="宋体" w:cs="宋体"/>
                <w:i w:val="0"/>
                <w:iCs w:val="0"/>
                <w:caps w:val="0"/>
                <w:color w:val="000000"/>
                <w:spacing w:val="0"/>
                <w:sz w:val="19"/>
                <w:szCs w:val="19"/>
              </w:rPr>
              <w:t>完善专项社会救助，做好医疗救助、教育救助、住房救助、就业救助和受灾人员救助。</w:t>
            </w:r>
          </w:p>
        </w:tc>
        <w:tc>
          <w:tcPr>
            <w:tcW w:w="352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7E19940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对在毕业学年积极求职创业的低保家庭、零就业家庭、防止返贫监测对象家庭和特困人员中的高校毕业生，残疾及获得国家助学贷款的高校毕业生，给予一次性求职补贴。</w:t>
            </w:r>
          </w:p>
        </w:tc>
        <w:tc>
          <w:tcPr>
            <w:tcW w:w="154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66B21B0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市人力资源社会保障局</w:t>
            </w:r>
          </w:p>
        </w:tc>
        <w:tc>
          <w:tcPr>
            <w:tcW w:w="840"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4DA6B79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长期  推进</w:t>
            </w:r>
          </w:p>
        </w:tc>
      </w:tr>
      <w:tr w14:paraId="641DD86D">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3270" w:hRule="atLeast"/>
        </w:trPr>
        <w:tc>
          <w:tcPr>
            <w:tcW w:w="450" w:type="dxa"/>
            <w:tcBorders>
              <w:top w:val="nil"/>
              <w:left w:val="single" w:color="000000" w:sz="6" w:space="0"/>
              <w:bottom w:val="single" w:color="000000" w:sz="6" w:space="0"/>
              <w:right w:val="single" w:color="000000" w:sz="6" w:space="0"/>
            </w:tcBorders>
            <w:shd w:val="clear" w:color="auto" w:fill="FFFFFF"/>
            <w:tcMar>
              <w:left w:w="105" w:type="dxa"/>
              <w:right w:w="105" w:type="dxa"/>
            </w:tcMar>
            <w:vAlign w:val="center"/>
          </w:tcPr>
          <w:p w14:paraId="20B85E4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22"/>
                <w:szCs w:val="22"/>
              </w:rPr>
              <w:t>20</w:t>
            </w:r>
          </w:p>
        </w:tc>
        <w:tc>
          <w:tcPr>
            <w:tcW w:w="765" w:type="dxa"/>
            <w:vMerge w:val="continue"/>
            <w:tcBorders>
              <w:top w:val="nil"/>
              <w:left w:val="nil"/>
              <w:bottom w:val="single" w:color="000000" w:sz="6" w:space="0"/>
              <w:right w:val="single" w:color="000000" w:sz="6" w:space="0"/>
            </w:tcBorders>
            <w:shd w:val="clear" w:color="auto" w:fill="FFFFFF"/>
            <w:tcMar>
              <w:left w:w="105" w:type="dxa"/>
              <w:right w:w="105" w:type="dxa"/>
            </w:tcMar>
            <w:vAlign w:val="center"/>
          </w:tcPr>
          <w:p w14:paraId="39A52937">
            <w:pPr>
              <w:rPr>
                <w:rFonts w:hint="eastAsia" w:ascii="微软雅黑" w:hAnsi="微软雅黑" w:eastAsia="微软雅黑" w:cs="微软雅黑"/>
                <w:i w:val="0"/>
                <w:iCs w:val="0"/>
                <w:caps w:val="0"/>
                <w:color w:val="000000"/>
                <w:spacing w:val="0"/>
                <w:sz w:val="21"/>
                <w:szCs w:val="21"/>
              </w:rPr>
            </w:pPr>
          </w:p>
        </w:tc>
        <w:tc>
          <w:tcPr>
            <w:tcW w:w="1755" w:type="dxa"/>
            <w:vMerge w:val="continue"/>
            <w:tcBorders>
              <w:top w:val="nil"/>
              <w:left w:val="nil"/>
              <w:bottom w:val="nil"/>
              <w:right w:val="single" w:color="000000" w:sz="6" w:space="0"/>
            </w:tcBorders>
            <w:shd w:val="clear" w:color="auto" w:fill="FFFFFF"/>
            <w:tcMar>
              <w:left w:w="105" w:type="dxa"/>
              <w:right w:w="105" w:type="dxa"/>
            </w:tcMar>
            <w:vAlign w:val="center"/>
          </w:tcPr>
          <w:p w14:paraId="0357109C">
            <w:pPr>
              <w:rPr>
                <w:rFonts w:hint="eastAsia" w:ascii="微软雅黑" w:hAnsi="微软雅黑" w:eastAsia="微软雅黑" w:cs="微软雅黑"/>
                <w:i w:val="0"/>
                <w:iCs w:val="0"/>
                <w:caps w:val="0"/>
                <w:color w:val="000000"/>
                <w:spacing w:val="0"/>
                <w:sz w:val="21"/>
                <w:szCs w:val="21"/>
              </w:rPr>
            </w:pPr>
          </w:p>
        </w:tc>
        <w:tc>
          <w:tcPr>
            <w:tcW w:w="352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1CEDEFD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在灾害应急救助期间，对需紧急转移安置或紧急生活救助的低保对象、特困人员、低保边缘家庭成员、刚性支出困难家庭成员等受灾人员，按照自然灾害救助政策给予相应救助。对当年因自然灾害造成基本生活困难的受灾人员，在冬春期间按规定给予冬春生活困难救助。</w:t>
            </w:r>
          </w:p>
        </w:tc>
        <w:tc>
          <w:tcPr>
            <w:tcW w:w="154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4F0FF05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市应急管理局</w:t>
            </w:r>
          </w:p>
        </w:tc>
        <w:tc>
          <w:tcPr>
            <w:tcW w:w="840"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2B1F552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长期  推进</w:t>
            </w:r>
          </w:p>
        </w:tc>
      </w:tr>
      <w:tr w14:paraId="68F73107">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1725" w:hRule="atLeast"/>
        </w:trPr>
        <w:tc>
          <w:tcPr>
            <w:tcW w:w="450" w:type="dxa"/>
            <w:tcBorders>
              <w:top w:val="nil"/>
              <w:left w:val="single" w:color="000000" w:sz="6" w:space="0"/>
              <w:bottom w:val="single" w:color="000000" w:sz="6" w:space="0"/>
              <w:right w:val="single" w:color="000000" w:sz="6" w:space="0"/>
            </w:tcBorders>
            <w:shd w:val="clear" w:color="auto" w:fill="FFFFFF"/>
            <w:tcMar>
              <w:left w:w="105" w:type="dxa"/>
              <w:right w:w="105" w:type="dxa"/>
            </w:tcMar>
            <w:vAlign w:val="center"/>
          </w:tcPr>
          <w:p w14:paraId="0538E83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22"/>
                <w:szCs w:val="22"/>
              </w:rPr>
              <w:t>21</w:t>
            </w:r>
          </w:p>
        </w:tc>
        <w:tc>
          <w:tcPr>
            <w:tcW w:w="765" w:type="dxa"/>
            <w:vMerge w:val="restart"/>
            <w:tcBorders>
              <w:top w:val="nil"/>
              <w:left w:val="nil"/>
              <w:bottom w:val="single" w:color="000000" w:sz="6" w:space="0"/>
              <w:right w:val="single" w:color="000000" w:sz="6" w:space="0"/>
            </w:tcBorders>
            <w:shd w:val="clear" w:color="auto" w:fill="FFFFFF"/>
            <w:tcMar>
              <w:left w:w="105" w:type="dxa"/>
              <w:right w:w="105" w:type="dxa"/>
            </w:tcMar>
            <w:vAlign w:val="center"/>
          </w:tcPr>
          <w:p w14:paraId="6FEC0F8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22"/>
                <w:szCs w:val="22"/>
              </w:rPr>
              <w:t>做好分层分类社会救助工作</w:t>
            </w:r>
          </w:p>
        </w:tc>
        <w:tc>
          <w:tcPr>
            <w:tcW w:w="1755" w:type="dxa"/>
            <w:vMerge w:val="restart"/>
            <w:tcBorders>
              <w:top w:val="nil"/>
              <w:left w:val="nil"/>
              <w:bottom w:val="single" w:color="000000" w:sz="6" w:space="0"/>
              <w:right w:val="single" w:color="000000" w:sz="6" w:space="0"/>
            </w:tcBorders>
            <w:shd w:val="clear" w:color="auto" w:fill="FFFFFF"/>
            <w:tcMar>
              <w:left w:w="105" w:type="dxa"/>
              <w:right w:w="105" w:type="dxa"/>
            </w:tcMar>
            <w:vAlign w:val="center"/>
          </w:tcPr>
          <w:p w14:paraId="6E94E6C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加强急难社会救助</w:t>
            </w:r>
          </w:p>
        </w:tc>
        <w:tc>
          <w:tcPr>
            <w:tcW w:w="352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427C32C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对遭遇突发性、紧迫性、灾难性困难导致基本生活暂时出现严重困难的人员，取消户籍地、居住地申请限制，在急难发生地及时给予临时救助。</w:t>
            </w:r>
          </w:p>
        </w:tc>
        <w:tc>
          <w:tcPr>
            <w:tcW w:w="154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0BACE58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市民政局，   各区、县（市）人民政府</w:t>
            </w:r>
          </w:p>
        </w:tc>
        <w:tc>
          <w:tcPr>
            <w:tcW w:w="840"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7A4901B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长期  推进</w:t>
            </w:r>
          </w:p>
        </w:tc>
      </w:tr>
      <w:tr w14:paraId="05AABB2D">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1200" w:hRule="atLeast"/>
        </w:trPr>
        <w:tc>
          <w:tcPr>
            <w:tcW w:w="450" w:type="dxa"/>
            <w:tcBorders>
              <w:top w:val="nil"/>
              <w:left w:val="single" w:color="000000" w:sz="6" w:space="0"/>
              <w:bottom w:val="single" w:color="000000" w:sz="6" w:space="0"/>
              <w:right w:val="single" w:color="000000" w:sz="6" w:space="0"/>
            </w:tcBorders>
            <w:shd w:val="clear" w:color="auto" w:fill="FFFFFF"/>
            <w:tcMar>
              <w:left w:w="105" w:type="dxa"/>
              <w:right w:w="105" w:type="dxa"/>
            </w:tcMar>
            <w:vAlign w:val="center"/>
          </w:tcPr>
          <w:p w14:paraId="31FFA1A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22"/>
                <w:szCs w:val="22"/>
              </w:rPr>
              <w:t>22</w:t>
            </w:r>
          </w:p>
        </w:tc>
        <w:tc>
          <w:tcPr>
            <w:tcW w:w="765" w:type="dxa"/>
            <w:vMerge w:val="continue"/>
            <w:tcBorders>
              <w:top w:val="nil"/>
              <w:left w:val="nil"/>
              <w:bottom w:val="single" w:color="000000" w:sz="6" w:space="0"/>
              <w:right w:val="single" w:color="000000" w:sz="6" w:space="0"/>
            </w:tcBorders>
            <w:shd w:val="clear" w:color="auto" w:fill="FFFFFF"/>
            <w:tcMar>
              <w:left w:w="105" w:type="dxa"/>
              <w:right w:w="105" w:type="dxa"/>
            </w:tcMar>
            <w:vAlign w:val="center"/>
          </w:tcPr>
          <w:p w14:paraId="663089F1">
            <w:pPr>
              <w:rPr>
                <w:rFonts w:hint="eastAsia" w:ascii="微软雅黑" w:hAnsi="微软雅黑" w:eastAsia="微软雅黑" w:cs="微软雅黑"/>
                <w:i w:val="0"/>
                <w:iCs w:val="0"/>
                <w:caps w:val="0"/>
                <w:color w:val="000000"/>
                <w:spacing w:val="0"/>
                <w:sz w:val="21"/>
                <w:szCs w:val="21"/>
              </w:rPr>
            </w:pPr>
          </w:p>
        </w:tc>
        <w:tc>
          <w:tcPr>
            <w:tcW w:w="1755" w:type="dxa"/>
            <w:vMerge w:val="continue"/>
            <w:tcBorders>
              <w:top w:val="nil"/>
              <w:left w:val="nil"/>
              <w:bottom w:val="single" w:color="000000" w:sz="6" w:space="0"/>
              <w:right w:val="single" w:color="000000" w:sz="6" w:space="0"/>
            </w:tcBorders>
            <w:shd w:val="clear" w:color="auto" w:fill="FFFFFF"/>
            <w:tcMar>
              <w:left w:w="105" w:type="dxa"/>
              <w:right w:w="105" w:type="dxa"/>
            </w:tcMar>
            <w:vAlign w:val="center"/>
          </w:tcPr>
          <w:p w14:paraId="1254196B">
            <w:pPr>
              <w:rPr>
                <w:rFonts w:hint="eastAsia" w:ascii="微软雅黑" w:hAnsi="微软雅黑" w:eastAsia="微软雅黑" w:cs="微软雅黑"/>
                <w:i w:val="0"/>
                <w:iCs w:val="0"/>
                <w:caps w:val="0"/>
                <w:color w:val="000000"/>
                <w:spacing w:val="0"/>
                <w:sz w:val="21"/>
                <w:szCs w:val="21"/>
              </w:rPr>
            </w:pPr>
          </w:p>
        </w:tc>
        <w:tc>
          <w:tcPr>
            <w:tcW w:w="352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00D02FB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全面落实镇（街）临时救助备用金制度，情况紧急可实行“小金额先行救助”，事后补充说明情况。</w:t>
            </w:r>
          </w:p>
        </w:tc>
        <w:tc>
          <w:tcPr>
            <w:tcW w:w="154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1F1AD36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市民政局，   各区、县（市）人民政府</w:t>
            </w:r>
          </w:p>
        </w:tc>
        <w:tc>
          <w:tcPr>
            <w:tcW w:w="840"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11905BA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长期  推进</w:t>
            </w:r>
          </w:p>
        </w:tc>
      </w:tr>
      <w:tr w14:paraId="104BAA1C">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2775" w:hRule="atLeast"/>
        </w:trPr>
        <w:tc>
          <w:tcPr>
            <w:tcW w:w="450" w:type="dxa"/>
            <w:tcBorders>
              <w:top w:val="nil"/>
              <w:left w:val="single" w:color="000000" w:sz="6" w:space="0"/>
              <w:bottom w:val="single" w:color="000000" w:sz="6" w:space="0"/>
              <w:right w:val="single" w:color="000000" w:sz="6" w:space="0"/>
            </w:tcBorders>
            <w:shd w:val="clear" w:color="auto" w:fill="FFFFFF"/>
            <w:tcMar>
              <w:left w:w="105" w:type="dxa"/>
              <w:right w:w="105" w:type="dxa"/>
            </w:tcMar>
            <w:vAlign w:val="center"/>
          </w:tcPr>
          <w:p w14:paraId="468AE4B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22"/>
                <w:szCs w:val="22"/>
              </w:rPr>
              <w:t>23</w:t>
            </w:r>
          </w:p>
        </w:tc>
        <w:tc>
          <w:tcPr>
            <w:tcW w:w="765" w:type="dxa"/>
            <w:vMerge w:val="continue"/>
            <w:tcBorders>
              <w:top w:val="nil"/>
              <w:left w:val="nil"/>
              <w:bottom w:val="single" w:color="000000" w:sz="6" w:space="0"/>
              <w:right w:val="single" w:color="000000" w:sz="6" w:space="0"/>
            </w:tcBorders>
            <w:shd w:val="clear" w:color="auto" w:fill="FFFFFF"/>
            <w:tcMar>
              <w:left w:w="105" w:type="dxa"/>
              <w:right w:w="105" w:type="dxa"/>
            </w:tcMar>
            <w:vAlign w:val="center"/>
          </w:tcPr>
          <w:p w14:paraId="3E441EF8">
            <w:pPr>
              <w:rPr>
                <w:rFonts w:hint="eastAsia" w:ascii="微软雅黑" w:hAnsi="微软雅黑" w:eastAsia="微软雅黑" w:cs="微软雅黑"/>
                <w:i w:val="0"/>
                <w:iCs w:val="0"/>
                <w:caps w:val="0"/>
                <w:color w:val="000000"/>
                <w:spacing w:val="0"/>
                <w:sz w:val="21"/>
                <w:szCs w:val="21"/>
              </w:rPr>
            </w:pPr>
          </w:p>
        </w:tc>
        <w:tc>
          <w:tcPr>
            <w:tcW w:w="1755" w:type="dxa"/>
            <w:vMerge w:val="continue"/>
            <w:tcBorders>
              <w:top w:val="nil"/>
              <w:left w:val="nil"/>
              <w:bottom w:val="single" w:color="000000" w:sz="6" w:space="0"/>
              <w:right w:val="single" w:color="000000" w:sz="6" w:space="0"/>
            </w:tcBorders>
            <w:shd w:val="clear" w:color="auto" w:fill="FFFFFF"/>
            <w:tcMar>
              <w:left w:w="105" w:type="dxa"/>
              <w:right w:w="105" w:type="dxa"/>
            </w:tcMar>
            <w:vAlign w:val="center"/>
          </w:tcPr>
          <w:p w14:paraId="4973A9DC">
            <w:pPr>
              <w:rPr>
                <w:rFonts w:hint="eastAsia" w:ascii="微软雅黑" w:hAnsi="微软雅黑" w:eastAsia="微软雅黑" w:cs="微软雅黑"/>
                <w:i w:val="0"/>
                <w:iCs w:val="0"/>
                <w:caps w:val="0"/>
                <w:color w:val="000000"/>
                <w:spacing w:val="0"/>
                <w:sz w:val="21"/>
                <w:szCs w:val="21"/>
              </w:rPr>
            </w:pPr>
          </w:p>
        </w:tc>
        <w:tc>
          <w:tcPr>
            <w:tcW w:w="352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28F9205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加强和改进生活无着的流浪乞讨人员救助管理，强化各地党委、政府属地管理责任，落实各职能部门在救助、街面巡查和转介处置、身份查询、行业监管等方面的责任。积极为走失人员、务工不着人员、家庭暴力受害人等离家在外的临时遇困人员提供救助。</w:t>
            </w:r>
          </w:p>
        </w:tc>
        <w:tc>
          <w:tcPr>
            <w:tcW w:w="154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257C2FB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市民政局，   各区、县（市）人民政府</w:t>
            </w:r>
          </w:p>
        </w:tc>
        <w:tc>
          <w:tcPr>
            <w:tcW w:w="840"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36DEF37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长期  推进</w:t>
            </w:r>
          </w:p>
        </w:tc>
      </w:tr>
      <w:tr w14:paraId="15092F34">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1305" w:hRule="atLeast"/>
        </w:trPr>
        <w:tc>
          <w:tcPr>
            <w:tcW w:w="450" w:type="dxa"/>
            <w:tcBorders>
              <w:top w:val="nil"/>
              <w:left w:val="single" w:color="000000" w:sz="6" w:space="0"/>
              <w:bottom w:val="single" w:color="000000" w:sz="6" w:space="0"/>
              <w:right w:val="single" w:color="000000" w:sz="6" w:space="0"/>
            </w:tcBorders>
            <w:shd w:val="clear" w:color="auto" w:fill="FFFFFF"/>
            <w:tcMar>
              <w:left w:w="105" w:type="dxa"/>
              <w:right w:w="105" w:type="dxa"/>
            </w:tcMar>
            <w:vAlign w:val="center"/>
          </w:tcPr>
          <w:p w14:paraId="2FCC6C7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22"/>
                <w:szCs w:val="22"/>
              </w:rPr>
              <w:t>24</w:t>
            </w:r>
          </w:p>
        </w:tc>
        <w:tc>
          <w:tcPr>
            <w:tcW w:w="765" w:type="dxa"/>
            <w:vMerge w:val="continue"/>
            <w:tcBorders>
              <w:top w:val="nil"/>
              <w:left w:val="nil"/>
              <w:bottom w:val="single" w:color="000000" w:sz="6" w:space="0"/>
              <w:right w:val="single" w:color="000000" w:sz="6" w:space="0"/>
            </w:tcBorders>
            <w:shd w:val="clear" w:color="auto" w:fill="FFFFFF"/>
            <w:tcMar>
              <w:left w:w="105" w:type="dxa"/>
              <w:right w:w="105" w:type="dxa"/>
            </w:tcMar>
            <w:vAlign w:val="center"/>
          </w:tcPr>
          <w:p w14:paraId="7CA0BF3F">
            <w:pPr>
              <w:rPr>
                <w:rFonts w:hint="eastAsia" w:ascii="微软雅黑" w:hAnsi="微软雅黑" w:eastAsia="微软雅黑" w:cs="微软雅黑"/>
                <w:i w:val="0"/>
                <w:iCs w:val="0"/>
                <w:caps w:val="0"/>
                <w:color w:val="000000"/>
                <w:spacing w:val="0"/>
                <w:sz w:val="21"/>
                <w:szCs w:val="21"/>
              </w:rPr>
            </w:pPr>
          </w:p>
        </w:tc>
        <w:tc>
          <w:tcPr>
            <w:tcW w:w="1755" w:type="dxa"/>
            <w:vMerge w:val="continue"/>
            <w:tcBorders>
              <w:top w:val="nil"/>
              <w:left w:val="nil"/>
              <w:bottom w:val="single" w:color="000000" w:sz="6" w:space="0"/>
              <w:right w:val="single" w:color="000000" w:sz="6" w:space="0"/>
            </w:tcBorders>
            <w:shd w:val="clear" w:color="auto" w:fill="FFFFFF"/>
            <w:tcMar>
              <w:left w:w="105" w:type="dxa"/>
              <w:right w:w="105" w:type="dxa"/>
            </w:tcMar>
            <w:vAlign w:val="center"/>
          </w:tcPr>
          <w:p w14:paraId="30CE7862">
            <w:pPr>
              <w:rPr>
                <w:rFonts w:hint="eastAsia" w:ascii="微软雅黑" w:hAnsi="微软雅黑" w:eastAsia="微软雅黑" w:cs="微软雅黑"/>
                <w:i w:val="0"/>
                <w:iCs w:val="0"/>
                <w:caps w:val="0"/>
                <w:color w:val="000000"/>
                <w:spacing w:val="0"/>
                <w:sz w:val="21"/>
                <w:szCs w:val="21"/>
              </w:rPr>
            </w:pPr>
          </w:p>
        </w:tc>
        <w:tc>
          <w:tcPr>
            <w:tcW w:w="352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04ABFFC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发挥县级困难群众基本生活保障工作协调机制作用，“一事一议”解决好困难群众急难问题。</w:t>
            </w:r>
          </w:p>
        </w:tc>
        <w:tc>
          <w:tcPr>
            <w:tcW w:w="154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48BF623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市民政局，   各区、县（市）人民政府</w:t>
            </w:r>
          </w:p>
        </w:tc>
        <w:tc>
          <w:tcPr>
            <w:tcW w:w="840"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004972B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长期  推进</w:t>
            </w:r>
          </w:p>
        </w:tc>
      </w:tr>
      <w:tr w14:paraId="34705588">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1245" w:hRule="atLeast"/>
        </w:trPr>
        <w:tc>
          <w:tcPr>
            <w:tcW w:w="450" w:type="dxa"/>
            <w:tcBorders>
              <w:top w:val="nil"/>
              <w:left w:val="single" w:color="000000" w:sz="6" w:space="0"/>
              <w:bottom w:val="single" w:color="000000" w:sz="6" w:space="0"/>
              <w:right w:val="single" w:color="000000" w:sz="6" w:space="0"/>
            </w:tcBorders>
            <w:shd w:val="clear" w:color="auto" w:fill="FFFFFF"/>
            <w:tcMar>
              <w:left w:w="105" w:type="dxa"/>
              <w:right w:w="105" w:type="dxa"/>
            </w:tcMar>
            <w:vAlign w:val="center"/>
          </w:tcPr>
          <w:p w14:paraId="0CC5824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22"/>
                <w:szCs w:val="22"/>
              </w:rPr>
              <w:t>25</w:t>
            </w:r>
          </w:p>
        </w:tc>
        <w:tc>
          <w:tcPr>
            <w:tcW w:w="765" w:type="dxa"/>
            <w:vMerge w:val="restart"/>
            <w:tcBorders>
              <w:top w:val="nil"/>
              <w:left w:val="nil"/>
              <w:bottom w:val="single" w:color="000000" w:sz="6" w:space="0"/>
              <w:right w:val="single" w:color="000000" w:sz="6" w:space="0"/>
            </w:tcBorders>
            <w:shd w:val="clear" w:color="auto" w:fill="FFFFFF"/>
            <w:tcMar>
              <w:left w:w="105" w:type="dxa"/>
              <w:right w:w="105" w:type="dxa"/>
            </w:tcMar>
            <w:vAlign w:val="center"/>
          </w:tcPr>
          <w:p w14:paraId="0679E66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22"/>
                <w:szCs w:val="22"/>
              </w:rPr>
              <w:t>做好分层分类社会救助工作</w:t>
            </w:r>
          </w:p>
        </w:tc>
        <w:tc>
          <w:tcPr>
            <w:tcW w:w="1755" w:type="dxa"/>
            <w:vMerge w:val="restart"/>
            <w:tcBorders>
              <w:top w:val="nil"/>
              <w:left w:val="nil"/>
              <w:bottom w:val="single" w:color="000000" w:sz="6" w:space="0"/>
              <w:right w:val="single" w:color="000000" w:sz="6" w:space="0"/>
            </w:tcBorders>
            <w:shd w:val="clear" w:color="auto" w:fill="FFFFFF"/>
            <w:tcMar>
              <w:left w:w="105" w:type="dxa"/>
              <w:right w:w="105" w:type="dxa"/>
            </w:tcMar>
            <w:vAlign w:val="center"/>
          </w:tcPr>
          <w:p w14:paraId="3DEEC12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积极发展服务类社会救助</w:t>
            </w:r>
          </w:p>
        </w:tc>
        <w:tc>
          <w:tcPr>
            <w:tcW w:w="352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3CF558D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全面推进服务类社会救助试点工作，统筹编制政府职能部门、群团组织、社会力量的服务类社会救助供给清单。</w:t>
            </w:r>
          </w:p>
        </w:tc>
        <w:tc>
          <w:tcPr>
            <w:tcW w:w="154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5DC15AC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市民政局，   各区、县（市）人民政府</w:t>
            </w:r>
          </w:p>
        </w:tc>
        <w:tc>
          <w:tcPr>
            <w:tcW w:w="840"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3157837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长期  推进</w:t>
            </w:r>
          </w:p>
        </w:tc>
      </w:tr>
      <w:tr w14:paraId="038996A2">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1800" w:hRule="atLeast"/>
        </w:trPr>
        <w:tc>
          <w:tcPr>
            <w:tcW w:w="450" w:type="dxa"/>
            <w:tcBorders>
              <w:top w:val="nil"/>
              <w:left w:val="single" w:color="000000" w:sz="6" w:space="0"/>
              <w:bottom w:val="single" w:color="000000" w:sz="6" w:space="0"/>
              <w:right w:val="single" w:color="000000" w:sz="6" w:space="0"/>
            </w:tcBorders>
            <w:shd w:val="clear" w:color="auto" w:fill="FFFFFF"/>
            <w:tcMar>
              <w:left w:w="105" w:type="dxa"/>
              <w:right w:w="105" w:type="dxa"/>
            </w:tcMar>
            <w:vAlign w:val="center"/>
          </w:tcPr>
          <w:p w14:paraId="15AB150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22"/>
                <w:szCs w:val="22"/>
              </w:rPr>
              <w:t>26</w:t>
            </w:r>
          </w:p>
        </w:tc>
        <w:tc>
          <w:tcPr>
            <w:tcW w:w="765" w:type="dxa"/>
            <w:vMerge w:val="continue"/>
            <w:tcBorders>
              <w:top w:val="nil"/>
              <w:left w:val="nil"/>
              <w:bottom w:val="single" w:color="000000" w:sz="6" w:space="0"/>
              <w:right w:val="single" w:color="000000" w:sz="6" w:space="0"/>
            </w:tcBorders>
            <w:shd w:val="clear" w:color="auto" w:fill="FFFFFF"/>
            <w:tcMar>
              <w:left w:w="105" w:type="dxa"/>
              <w:right w:w="105" w:type="dxa"/>
            </w:tcMar>
            <w:vAlign w:val="center"/>
          </w:tcPr>
          <w:p w14:paraId="47011528">
            <w:pPr>
              <w:rPr>
                <w:rFonts w:hint="eastAsia" w:ascii="微软雅黑" w:hAnsi="微软雅黑" w:eastAsia="微软雅黑" w:cs="微软雅黑"/>
                <w:i w:val="0"/>
                <w:iCs w:val="0"/>
                <w:caps w:val="0"/>
                <w:color w:val="000000"/>
                <w:spacing w:val="0"/>
                <w:sz w:val="21"/>
                <w:szCs w:val="21"/>
              </w:rPr>
            </w:pPr>
          </w:p>
        </w:tc>
        <w:tc>
          <w:tcPr>
            <w:tcW w:w="1755" w:type="dxa"/>
            <w:vMerge w:val="continue"/>
            <w:tcBorders>
              <w:top w:val="nil"/>
              <w:left w:val="nil"/>
              <w:bottom w:val="single" w:color="000000" w:sz="6" w:space="0"/>
              <w:right w:val="single" w:color="000000" w:sz="6" w:space="0"/>
            </w:tcBorders>
            <w:shd w:val="clear" w:color="auto" w:fill="FFFFFF"/>
            <w:tcMar>
              <w:left w:w="105" w:type="dxa"/>
              <w:right w:w="105" w:type="dxa"/>
            </w:tcMar>
            <w:vAlign w:val="center"/>
          </w:tcPr>
          <w:p w14:paraId="03F9E751">
            <w:pPr>
              <w:rPr>
                <w:rFonts w:hint="eastAsia" w:ascii="微软雅黑" w:hAnsi="微软雅黑" w:eastAsia="微软雅黑" w:cs="微软雅黑"/>
                <w:i w:val="0"/>
                <w:iCs w:val="0"/>
                <w:caps w:val="0"/>
                <w:color w:val="000000"/>
                <w:spacing w:val="0"/>
                <w:sz w:val="21"/>
                <w:szCs w:val="21"/>
              </w:rPr>
            </w:pPr>
          </w:p>
        </w:tc>
        <w:tc>
          <w:tcPr>
            <w:tcW w:w="352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42E2269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重点针对低收入人口中的失能老年人、未成年人、残疾人、重大疾病患者等特殊困难群体，提供探访关爱、照护服务、心理疏导、链接资源等社会救助服务。</w:t>
            </w:r>
          </w:p>
        </w:tc>
        <w:tc>
          <w:tcPr>
            <w:tcW w:w="154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72C6C71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市民政局，   各区、县（市）人民政府</w:t>
            </w:r>
          </w:p>
        </w:tc>
        <w:tc>
          <w:tcPr>
            <w:tcW w:w="840"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1C4CAA7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长期  推进</w:t>
            </w:r>
          </w:p>
        </w:tc>
      </w:tr>
      <w:tr w14:paraId="571959B3">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2580" w:hRule="atLeast"/>
        </w:trPr>
        <w:tc>
          <w:tcPr>
            <w:tcW w:w="450" w:type="dxa"/>
            <w:tcBorders>
              <w:top w:val="nil"/>
              <w:left w:val="single" w:color="000000" w:sz="6" w:space="0"/>
              <w:bottom w:val="single" w:color="000000" w:sz="6" w:space="0"/>
              <w:right w:val="single" w:color="000000" w:sz="6" w:space="0"/>
            </w:tcBorders>
            <w:shd w:val="clear" w:color="auto" w:fill="FFFFFF"/>
            <w:tcMar>
              <w:left w:w="105" w:type="dxa"/>
              <w:right w:w="105" w:type="dxa"/>
            </w:tcMar>
            <w:vAlign w:val="center"/>
          </w:tcPr>
          <w:p w14:paraId="70F90A2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22"/>
                <w:szCs w:val="22"/>
              </w:rPr>
              <w:t>27</w:t>
            </w:r>
          </w:p>
        </w:tc>
        <w:tc>
          <w:tcPr>
            <w:tcW w:w="765" w:type="dxa"/>
            <w:vMerge w:val="continue"/>
            <w:tcBorders>
              <w:top w:val="nil"/>
              <w:left w:val="nil"/>
              <w:bottom w:val="single" w:color="000000" w:sz="6" w:space="0"/>
              <w:right w:val="single" w:color="000000" w:sz="6" w:space="0"/>
            </w:tcBorders>
            <w:shd w:val="clear" w:color="auto" w:fill="FFFFFF"/>
            <w:tcMar>
              <w:left w:w="105" w:type="dxa"/>
              <w:right w:w="105" w:type="dxa"/>
            </w:tcMar>
            <w:vAlign w:val="center"/>
          </w:tcPr>
          <w:p w14:paraId="7E3F3DE9">
            <w:pPr>
              <w:rPr>
                <w:rFonts w:hint="eastAsia" w:ascii="微软雅黑" w:hAnsi="微软雅黑" w:eastAsia="微软雅黑" w:cs="微软雅黑"/>
                <w:i w:val="0"/>
                <w:iCs w:val="0"/>
                <w:caps w:val="0"/>
                <w:color w:val="000000"/>
                <w:spacing w:val="0"/>
                <w:sz w:val="21"/>
                <w:szCs w:val="21"/>
              </w:rPr>
            </w:pPr>
          </w:p>
        </w:tc>
        <w:tc>
          <w:tcPr>
            <w:tcW w:w="1755" w:type="dxa"/>
            <w:vMerge w:val="restart"/>
            <w:tcBorders>
              <w:top w:val="nil"/>
              <w:left w:val="nil"/>
              <w:bottom w:val="single" w:color="000000" w:sz="6" w:space="0"/>
              <w:right w:val="single" w:color="000000" w:sz="6" w:space="0"/>
            </w:tcBorders>
            <w:shd w:val="clear" w:color="auto" w:fill="FFFFFF"/>
            <w:tcMar>
              <w:left w:w="105" w:type="dxa"/>
              <w:right w:w="105" w:type="dxa"/>
            </w:tcMar>
            <w:vAlign w:val="center"/>
          </w:tcPr>
          <w:p w14:paraId="6DF9820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做好其他救助帮扶</w:t>
            </w:r>
          </w:p>
        </w:tc>
        <w:tc>
          <w:tcPr>
            <w:tcW w:w="352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27781F5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对符合条件的低保对象、特困人员、低保边缘家庭成员、刚性支出困难家庭成员，根据相关政策给予取暖补贴、基本殡葬费用减免、残疾儿童康复救助。对符合规定条件的低收入人口依法提供法律援助、司法救助。</w:t>
            </w:r>
          </w:p>
        </w:tc>
        <w:tc>
          <w:tcPr>
            <w:tcW w:w="154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3D41D31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市民政局、市房产局、市司法局、市残联、市委政法委、市法院、市检察院、市公安局</w:t>
            </w:r>
          </w:p>
        </w:tc>
        <w:tc>
          <w:tcPr>
            <w:tcW w:w="840"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4CD3428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2025年6月底</w:t>
            </w:r>
          </w:p>
        </w:tc>
      </w:tr>
      <w:tr w14:paraId="75719E88">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3015" w:hRule="atLeast"/>
        </w:trPr>
        <w:tc>
          <w:tcPr>
            <w:tcW w:w="450" w:type="dxa"/>
            <w:tcBorders>
              <w:top w:val="nil"/>
              <w:left w:val="single" w:color="000000" w:sz="6" w:space="0"/>
              <w:bottom w:val="single" w:color="000000" w:sz="6" w:space="0"/>
              <w:right w:val="single" w:color="000000" w:sz="6" w:space="0"/>
            </w:tcBorders>
            <w:shd w:val="clear" w:color="auto" w:fill="FFFFFF"/>
            <w:tcMar>
              <w:left w:w="105" w:type="dxa"/>
              <w:right w:w="105" w:type="dxa"/>
            </w:tcMar>
            <w:vAlign w:val="center"/>
          </w:tcPr>
          <w:p w14:paraId="71D9D8A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22"/>
                <w:szCs w:val="22"/>
              </w:rPr>
              <w:t>28</w:t>
            </w:r>
          </w:p>
        </w:tc>
        <w:tc>
          <w:tcPr>
            <w:tcW w:w="765" w:type="dxa"/>
            <w:vMerge w:val="continue"/>
            <w:tcBorders>
              <w:top w:val="nil"/>
              <w:left w:val="nil"/>
              <w:bottom w:val="single" w:color="000000" w:sz="6" w:space="0"/>
              <w:right w:val="single" w:color="000000" w:sz="6" w:space="0"/>
            </w:tcBorders>
            <w:shd w:val="clear" w:color="auto" w:fill="FFFFFF"/>
            <w:tcMar>
              <w:left w:w="105" w:type="dxa"/>
              <w:right w:w="105" w:type="dxa"/>
            </w:tcMar>
            <w:vAlign w:val="center"/>
          </w:tcPr>
          <w:p w14:paraId="76B4AB28">
            <w:pPr>
              <w:rPr>
                <w:rFonts w:hint="eastAsia" w:ascii="微软雅黑" w:hAnsi="微软雅黑" w:eastAsia="微软雅黑" w:cs="微软雅黑"/>
                <w:i w:val="0"/>
                <w:iCs w:val="0"/>
                <w:caps w:val="0"/>
                <w:color w:val="000000"/>
                <w:spacing w:val="0"/>
                <w:sz w:val="21"/>
                <w:szCs w:val="21"/>
              </w:rPr>
            </w:pPr>
          </w:p>
        </w:tc>
        <w:tc>
          <w:tcPr>
            <w:tcW w:w="1755" w:type="dxa"/>
            <w:vMerge w:val="continue"/>
            <w:tcBorders>
              <w:top w:val="nil"/>
              <w:left w:val="nil"/>
              <w:bottom w:val="single" w:color="000000" w:sz="6" w:space="0"/>
              <w:right w:val="single" w:color="000000" w:sz="6" w:space="0"/>
            </w:tcBorders>
            <w:shd w:val="clear" w:color="auto" w:fill="FFFFFF"/>
            <w:tcMar>
              <w:left w:w="105" w:type="dxa"/>
              <w:right w:w="105" w:type="dxa"/>
            </w:tcMar>
            <w:vAlign w:val="center"/>
          </w:tcPr>
          <w:p w14:paraId="03F5441D">
            <w:pPr>
              <w:rPr>
                <w:rFonts w:hint="eastAsia" w:ascii="微软雅黑" w:hAnsi="微软雅黑" w:eastAsia="微软雅黑" w:cs="微软雅黑"/>
                <w:i w:val="0"/>
                <w:iCs w:val="0"/>
                <w:caps w:val="0"/>
                <w:color w:val="000000"/>
                <w:spacing w:val="0"/>
                <w:sz w:val="21"/>
                <w:szCs w:val="21"/>
              </w:rPr>
            </w:pPr>
          </w:p>
        </w:tc>
        <w:tc>
          <w:tcPr>
            <w:tcW w:w="352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48568E2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通过先建后补、以奖代补等方式，帮助发展庭院种养、手工、休闲旅游等增收项目；通过就业奖励、交通补助，实施“雨露计划+”和乡村工匠培育工程等方式做好就业服务，增加务工收入；通过以工代赈、帮扶车间、乡村公益岗位安置弱（半）劳力“家门口就业”。</w:t>
            </w:r>
          </w:p>
        </w:tc>
        <w:tc>
          <w:tcPr>
            <w:tcW w:w="154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10BEA62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市农业农村局，各区、县（市）人民政府</w:t>
            </w:r>
          </w:p>
        </w:tc>
        <w:tc>
          <w:tcPr>
            <w:tcW w:w="840"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4E2983E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长期  推进</w:t>
            </w:r>
          </w:p>
        </w:tc>
      </w:tr>
      <w:tr w14:paraId="0C6AC82B">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1950" w:hRule="atLeast"/>
        </w:trPr>
        <w:tc>
          <w:tcPr>
            <w:tcW w:w="450" w:type="dxa"/>
            <w:tcBorders>
              <w:top w:val="nil"/>
              <w:left w:val="single" w:color="000000" w:sz="6" w:space="0"/>
              <w:bottom w:val="single" w:color="000000" w:sz="6" w:space="0"/>
              <w:right w:val="single" w:color="000000" w:sz="6" w:space="0"/>
            </w:tcBorders>
            <w:shd w:val="clear" w:color="auto" w:fill="FFFFFF"/>
            <w:tcMar>
              <w:left w:w="105" w:type="dxa"/>
              <w:right w:w="105" w:type="dxa"/>
            </w:tcMar>
            <w:vAlign w:val="center"/>
          </w:tcPr>
          <w:p w14:paraId="6A29CE8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22"/>
                <w:szCs w:val="22"/>
              </w:rPr>
              <w:t>29</w:t>
            </w:r>
          </w:p>
        </w:tc>
        <w:tc>
          <w:tcPr>
            <w:tcW w:w="765" w:type="dxa"/>
            <w:vMerge w:val="continue"/>
            <w:tcBorders>
              <w:top w:val="nil"/>
              <w:left w:val="nil"/>
              <w:bottom w:val="single" w:color="000000" w:sz="6" w:space="0"/>
              <w:right w:val="single" w:color="000000" w:sz="6" w:space="0"/>
            </w:tcBorders>
            <w:shd w:val="clear" w:color="auto" w:fill="FFFFFF"/>
            <w:tcMar>
              <w:left w:w="105" w:type="dxa"/>
              <w:right w:w="105" w:type="dxa"/>
            </w:tcMar>
            <w:vAlign w:val="center"/>
          </w:tcPr>
          <w:p w14:paraId="5BEA4432">
            <w:pPr>
              <w:rPr>
                <w:rFonts w:hint="eastAsia" w:ascii="微软雅黑" w:hAnsi="微软雅黑" w:eastAsia="微软雅黑" w:cs="微软雅黑"/>
                <w:i w:val="0"/>
                <w:iCs w:val="0"/>
                <w:caps w:val="0"/>
                <w:color w:val="000000"/>
                <w:spacing w:val="0"/>
                <w:sz w:val="21"/>
                <w:szCs w:val="21"/>
              </w:rPr>
            </w:pPr>
          </w:p>
        </w:tc>
        <w:tc>
          <w:tcPr>
            <w:tcW w:w="1755" w:type="dxa"/>
            <w:vMerge w:val="restart"/>
            <w:tcBorders>
              <w:top w:val="nil"/>
              <w:left w:val="nil"/>
              <w:bottom w:val="single" w:color="000000" w:sz="6" w:space="0"/>
              <w:right w:val="single" w:color="000000" w:sz="6" w:space="0"/>
            </w:tcBorders>
            <w:shd w:val="clear" w:color="auto" w:fill="FFFFFF"/>
            <w:tcMar>
              <w:left w:w="105" w:type="dxa"/>
              <w:right w:w="105" w:type="dxa"/>
            </w:tcMar>
            <w:vAlign w:val="center"/>
          </w:tcPr>
          <w:p w14:paraId="71FA7DF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鼓励开展慈善帮扶</w:t>
            </w:r>
          </w:p>
        </w:tc>
        <w:tc>
          <w:tcPr>
            <w:tcW w:w="352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215B257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鼓励慈善组织设立社区慈善基金，推动慈善资源下沉基层，快速解决低收入人口“小急难”问题；支持企业在慈善组织设立专项基金、冠名基金、慈善信托等，提升对特定低收入人口慈善帮扶的持续性。</w:t>
            </w:r>
          </w:p>
        </w:tc>
        <w:tc>
          <w:tcPr>
            <w:tcW w:w="154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75282E5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市民政局，   各区、县（市）人民政府</w:t>
            </w:r>
          </w:p>
        </w:tc>
        <w:tc>
          <w:tcPr>
            <w:tcW w:w="840"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7A28A4B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长期  推进</w:t>
            </w:r>
          </w:p>
        </w:tc>
      </w:tr>
      <w:tr w14:paraId="374DD6D0">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900" w:hRule="atLeast"/>
        </w:trPr>
        <w:tc>
          <w:tcPr>
            <w:tcW w:w="450" w:type="dxa"/>
            <w:tcBorders>
              <w:top w:val="nil"/>
              <w:left w:val="single" w:color="000000" w:sz="6" w:space="0"/>
              <w:bottom w:val="single" w:color="000000" w:sz="6" w:space="0"/>
              <w:right w:val="single" w:color="000000" w:sz="6" w:space="0"/>
            </w:tcBorders>
            <w:shd w:val="clear" w:color="auto" w:fill="FFFFFF"/>
            <w:tcMar>
              <w:left w:w="105" w:type="dxa"/>
              <w:right w:w="105" w:type="dxa"/>
            </w:tcMar>
            <w:vAlign w:val="center"/>
          </w:tcPr>
          <w:p w14:paraId="03C1631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22"/>
                <w:szCs w:val="22"/>
              </w:rPr>
              <w:t>30</w:t>
            </w:r>
          </w:p>
        </w:tc>
        <w:tc>
          <w:tcPr>
            <w:tcW w:w="765" w:type="dxa"/>
            <w:vMerge w:val="continue"/>
            <w:tcBorders>
              <w:top w:val="nil"/>
              <w:left w:val="nil"/>
              <w:bottom w:val="single" w:color="000000" w:sz="6" w:space="0"/>
              <w:right w:val="single" w:color="000000" w:sz="6" w:space="0"/>
            </w:tcBorders>
            <w:shd w:val="clear" w:color="auto" w:fill="FFFFFF"/>
            <w:tcMar>
              <w:left w:w="105" w:type="dxa"/>
              <w:right w:w="105" w:type="dxa"/>
            </w:tcMar>
            <w:vAlign w:val="center"/>
          </w:tcPr>
          <w:p w14:paraId="2982033D">
            <w:pPr>
              <w:rPr>
                <w:rFonts w:hint="eastAsia" w:ascii="微软雅黑" w:hAnsi="微软雅黑" w:eastAsia="微软雅黑" w:cs="微软雅黑"/>
                <w:i w:val="0"/>
                <w:iCs w:val="0"/>
                <w:caps w:val="0"/>
                <w:color w:val="000000"/>
                <w:spacing w:val="0"/>
                <w:sz w:val="21"/>
                <w:szCs w:val="21"/>
              </w:rPr>
            </w:pPr>
          </w:p>
        </w:tc>
        <w:tc>
          <w:tcPr>
            <w:tcW w:w="1755" w:type="dxa"/>
            <w:vMerge w:val="continue"/>
            <w:tcBorders>
              <w:top w:val="nil"/>
              <w:left w:val="nil"/>
              <w:bottom w:val="single" w:color="000000" w:sz="6" w:space="0"/>
              <w:right w:val="single" w:color="000000" w:sz="6" w:space="0"/>
            </w:tcBorders>
            <w:shd w:val="clear" w:color="auto" w:fill="FFFFFF"/>
            <w:tcMar>
              <w:left w:w="105" w:type="dxa"/>
              <w:right w:w="105" w:type="dxa"/>
            </w:tcMar>
            <w:vAlign w:val="center"/>
          </w:tcPr>
          <w:p w14:paraId="55422529">
            <w:pPr>
              <w:rPr>
                <w:rFonts w:hint="eastAsia" w:ascii="微软雅黑" w:hAnsi="微软雅黑" w:eastAsia="微软雅黑" w:cs="微软雅黑"/>
                <w:i w:val="0"/>
                <w:iCs w:val="0"/>
                <w:caps w:val="0"/>
                <w:color w:val="000000"/>
                <w:spacing w:val="0"/>
                <w:sz w:val="21"/>
                <w:szCs w:val="21"/>
              </w:rPr>
            </w:pPr>
          </w:p>
        </w:tc>
        <w:tc>
          <w:tcPr>
            <w:tcW w:w="352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209F7C0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依托市民政局“大救助”信息平台发布慈善项目，设立365天、24小时均有人接听的捐赠热线，发布微信小程序，提供“随手捐”的便捷捐赠方式。</w:t>
            </w:r>
          </w:p>
        </w:tc>
        <w:tc>
          <w:tcPr>
            <w:tcW w:w="1545"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54B94C5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市民政局</w:t>
            </w:r>
          </w:p>
        </w:tc>
        <w:tc>
          <w:tcPr>
            <w:tcW w:w="840" w:type="dxa"/>
            <w:tcBorders>
              <w:top w:val="nil"/>
              <w:left w:val="nil"/>
              <w:bottom w:val="single" w:color="000000" w:sz="6" w:space="0"/>
              <w:right w:val="single" w:color="000000" w:sz="6" w:space="0"/>
            </w:tcBorders>
            <w:shd w:val="clear" w:color="auto" w:fill="FFFFFF"/>
            <w:tcMar>
              <w:left w:w="105" w:type="dxa"/>
              <w:right w:w="105" w:type="dxa"/>
            </w:tcMar>
            <w:vAlign w:val="center"/>
          </w:tcPr>
          <w:p w14:paraId="3B95863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jc w:val="center"/>
              <w:textAlignment w:val="center"/>
              <w:rPr>
                <w:rFonts w:hint="default" w:ascii="Calibri" w:hAnsi="Calibri" w:cs="Calibri"/>
                <w:sz w:val="21"/>
                <w:szCs w:val="21"/>
              </w:rPr>
            </w:pPr>
            <w:r>
              <w:rPr>
                <w:rFonts w:hint="eastAsia" w:ascii="宋体" w:hAnsi="宋体" w:eastAsia="宋体" w:cs="宋体"/>
                <w:i w:val="0"/>
                <w:iCs w:val="0"/>
                <w:caps w:val="0"/>
                <w:color w:val="000000"/>
                <w:spacing w:val="0"/>
                <w:sz w:val="19"/>
                <w:szCs w:val="19"/>
              </w:rPr>
              <w:t>2025年6月底</w:t>
            </w:r>
          </w:p>
        </w:tc>
      </w:tr>
    </w:tbl>
    <w:p w14:paraId="4F0C33D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420"/>
        <w:jc w:val="both"/>
        <w:rPr>
          <w:rFonts w:hint="default" w:ascii="Calibri" w:hAnsi="Calibri" w:cs="Calibri"/>
          <w:i w:val="0"/>
          <w:iCs w:val="0"/>
          <w:caps w:val="0"/>
          <w:color w:val="000000"/>
          <w:spacing w:val="0"/>
          <w:sz w:val="21"/>
          <w:szCs w:val="21"/>
        </w:rPr>
      </w:pPr>
      <w:r>
        <w:rPr>
          <w:rFonts w:hint="default" w:ascii="Calibri" w:hAnsi="Calibri" w:cs="Calibri"/>
          <w:i w:val="0"/>
          <w:iCs w:val="0"/>
          <w:caps w:val="0"/>
          <w:color w:val="000000"/>
          <w:spacing w:val="0"/>
          <w:sz w:val="21"/>
          <w:szCs w:val="21"/>
          <w:shd w:val="clear" w:fill="FFFFFF"/>
        </w:rPr>
        <w:t> </w:t>
      </w:r>
    </w:p>
    <w:p w14:paraId="0825021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both"/>
        <w:rPr>
          <w:rFonts w:hint="eastAsia" w:ascii="宋体" w:hAnsi="宋体" w:eastAsia="宋体" w:cs="宋体"/>
          <w:i w:val="0"/>
          <w:iCs w:val="0"/>
          <w:caps w:val="0"/>
          <w:color w:val="000000"/>
          <w:spacing w:val="0"/>
          <w:sz w:val="21"/>
          <w:szCs w:val="21"/>
          <w:shd w:val="clear" w:fill="FFFFFF"/>
        </w:rPr>
      </w:pPr>
    </w:p>
    <w:p w14:paraId="7D6792CE">
      <w:r>
        <w:rPr>
          <w:rFonts w:hint="default" w:ascii="Calibri" w:hAnsi="Calibri" w:eastAsia="微软雅黑" w:cs="Calibri"/>
          <w:i w:val="0"/>
          <w:iCs w:val="0"/>
          <w:caps w:val="0"/>
          <w:color w:val="000000"/>
          <w:spacing w:val="0"/>
          <w:sz w:val="21"/>
          <w:szCs w:val="21"/>
          <w:shd w:val="clear" w:fill="FFFFFF"/>
        </w:rPr>
        <w:t> </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方正小标宋简体">
    <w:altName w:val="黑体"/>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303E24"/>
    <w:rsid w:val="041F10E8"/>
    <w:rsid w:val="24303E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4565</Words>
  <Characters>4691</Characters>
  <Lines>0</Lines>
  <Paragraphs>0</Paragraphs>
  <TotalTime>2</TotalTime>
  <ScaleCrop>false</ScaleCrop>
  <LinksUpToDate>false</LinksUpToDate>
  <CharactersWithSpaces>4696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2025-11-14T06:23:00Z</dcterms:created>
  <dc:creator>张宏志</dc:creator>
  <cp:lastModifiedBy>高小月</cp:lastModifiedBy>
  <dcterms:modified xsi:type="dcterms:W3CDTF">2025-11-17T00:56:25Z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3D94D45974734B108A1E1F001433DF41_11</vt:lpwstr>
  </property>
  <property fmtid="{D5CDD505-2E9C-101B-9397-08002B2CF9AE}" pid="4" name="KSOTemplateDocerSaveRecord">
    <vt:lpwstr>eyJoZGlkIjoiMDM0YWRlMjg5YWVmYTAzN2JhYjNhNzZiOGU3OWNhNDQiLCJ1c2VySWQiOiI2MDkxNjYxMzAifQ==</vt:lpwstr>
  </property>
</Properties>
</file>