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884C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5</w:t>
      </w:r>
      <w:r>
        <w:rPr>
          <w:rFonts w:hint="eastAsia" w:ascii="宋体" w:hAnsi="宋体" w:eastAsia="宋体" w:cs="宋体"/>
          <w:b/>
          <w:bCs/>
          <w:sz w:val="44"/>
          <w:szCs w:val="44"/>
        </w:rPr>
        <w:t>年</w:t>
      </w:r>
      <w:r>
        <w:rPr>
          <w:rFonts w:hint="eastAsia" w:ascii="宋体" w:hAnsi="宋体" w:eastAsia="宋体" w:cs="宋体"/>
          <w:b/>
          <w:bCs/>
          <w:sz w:val="44"/>
          <w:szCs w:val="44"/>
          <w:lang w:val="en-US" w:eastAsia="zh-CN"/>
        </w:rPr>
        <w:t>上半年</w:t>
      </w:r>
      <w:r>
        <w:rPr>
          <w:rFonts w:hint="eastAsia" w:ascii="宋体" w:hAnsi="宋体" w:eastAsia="宋体" w:cs="宋体"/>
          <w:b/>
          <w:bCs/>
          <w:sz w:val="44"/>
          <w:szCs w:val="44"/>
        </w:rPr>
        <w:t>公立医院医疗费用监测数据分析</w:t>
      </w:r>
      <w:r>
        <w:rPr>
          <w:rFonts w:hint="eastAsia" w:ascii="宋体" w:hAnsi="宋体" w:eastAsia="宋体" w:cs="宋体"/>
          <w:b/>
          <w:bCs/>
          <w:sz w:val="44"/>
          <w:szCs w:val="44"/>
          <w:lang w:val="en-US" w:eastAsia="zh-CN"/>
        </w:rPr>
        <w:t>报告</w:t>
      </w:r>
    </w:p>
    <w:p w14:paraId="4F8068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宋体" w:cs="宋体"/>
          <w:b/>
          <w:bCs/>
          <w:sz w:val="44"/>
          <w:szCs w:val="44"/>
          <w:lang w:val="en-US" w:eastAsia="zh-CN"/>
        </w:rPr>
      </w:pPr>
    </w:p>
    <w:p w14:paraId="739028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按照</w:t>
      </w:r>
      <w:r>
        <w:rPr>
          <w:rFonts w:hint="eastAsia" w:ascii="仿宋" w:hAnsi="仿宋" w:eastAsia="仿宋" w:cs="仿宋"/>
          <w:sz w:val="32"/>
          <w:szCs w:val="32"/>
        </w:rPr>
        <w:t>市卫健委《关于医疗费用重点监测指标数据报送发布有关工作的通知》</w:t>
      </w:r>
      <w:r>
        <w:rPr>
          <w:rFonts w:hint="eastAsia" w:ascii="仿宋" w:hAnsi="仿宋" w:eastAsia="仿宋" w:cs="仿宋"/>
          <w:sz w:val="32"/>
          <w:szCs w:val="32"/>
          <w:lang w:val="en-US" w:eastAsia="zh-CN"/>
        </w:rPr>
        <w:t>工作安排</w:t>
      </w:r>
      <w:r>
        <w:rPr>
          <w:rFonts w:hint="eastAsia" w:ascii="仿宋" w:hAnsi="仿宋" w:eastAsia="仿宋" w:cs="仿宋"/>
          <w:sz w:val="32"/>
          <w:szCs w:val="32"/>
        </w:rPr>
        <w:t>，</w:t>
      </w:r>
      <w:r>
        <w:rPr>
          <w:rFonts w:hint="eastAsia" w:ascii="仿宋" w:hAnsi="仿宋" w:eastAsia="仿宋" w:cs="仿宋"/>
          <w:sz w:val="32"/>
          <w:szCs w:val="32"/>
          <w:lang w:val="en-US" w:eastAsia="zh-CN"/>
        </w:rPr>
        <w:t>康平县卫生健康局对医疗费用重点指标监测数据进行分析</w:t>
      </w:r>
      <w:r>
        <w:rPr>
          <w:rFonts w:hint="eastAsia" w:ascii="仿宋" w:hAnsi="仿宋" w:eastAsia="仿宋" w:cs="仿宋"/>
          <w:sz w:val="32"/>
          <w:szCs w:val="32"/>
        </w:rPr>
        <w:t>。</w:t>
      </w:r>
      <w:r>
        <w:rPr>
          <w:rFonts w:hint="eastAsia" w:ascii="仿宋" w:hAnsi="仿宋" w:eastAsia="仿宋" w:cs="仿宋"/>
          <w:sz w:val="32"/>
          <w:szCs w:val="32"/>
          <w:lang w:val="en-US" w:eastAsia="zh-CN"/>
        </w:rPr>
        <w:t>我县涉及公立医院综合改革工作的仅有康平县人民医院，</w:t>
      </w:r>
      <w:r>
        <w:rPr>
          <w:rFonts w:hint="eastAsia" w:ascii="仿宋" w:hAnsi="仿宋" w:eastAsia="仿宋" w:cs="仿宋"/>
          <w:sz w:val="32"/>
          <w:szCs w:val="32"/>
        </w:rPr>
        <w:t>现将</w:t>
      </w:r>
      <w:r>
        <w:rPr>
          <w:rFonts w:hint="eastAsia" w:ascii="仿宋" w:hAnsi="仿宋" w:eastAsia="仿宋" w:cs="仿宋"/>
          <w:sz w:val="32"/>
          <w:szCs w:val="32"/>
          <w:lang w:val="en-US" w:eastAsia="zh-CN"/>
        </w:rPr>
        <w:t>2025年上半年</w:t>
      </w:r>
      <w:r>
        <w:rPr>
          <w:rFonts w:hint="eastAsia" w:ascii="仿宋" w:hAnsi="仿宋" w:eastAsia="仿宋" w:cs="仿宋"/>
          <w:sz w:val="32"/>
          <w:szCs w:val="32"/>
        </w:rPr>
        <w:t>重点指标监测情况公示如下：</w:t>
      </w:r>
    </w:p>
    <w:p w14:paraId="269C5B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一、监测指标及内涵</w:t>
      </w:r>
    </w:p>
    <w:p w14:paraId="2D9134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监测指标包括医疗费用增幅、门诊收入占医疗收入比重、门诊病人次均医疗费用及增幅、住院病人次均医疗费用及增幅、平均住院天数等7个指标。其中，公立医院医疗费用增长指标用于反映公立医院医疗费用总体增长情况；门诊病人和住院病人次均医疗费用主要反映医院门诊病人和住院病人费用负担情况及增长水平；门诊收入占医疗收入的比重主要反映医院收入结构；平均住院日用于反映医院对住院病人的服务效率。</w:t>
      </w:r>
    </w:p>
    <w:p w14:paraId="079DCE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、总体医疗收入情况</w:t>
      </w:r>
    </w:p>
    <w:p w14:paraId="477131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2024年上半年医疗收入：12,527.45万元（门诊5,569.21万元</w:t>
      </w:r>
      <w:r>
        <w:rPr>
          <w:rFonts w:hint="eastAsia" w:ascii="仿宋" w:hAnsi="仿宋" w:eastAsia="仿宋" w:cs="仿宋"/>
          <w:sz w:val="32"/>
          <w:szCs w:val="32"/>
          <w:lang w:val="en-US" w:eastAsia="zh-CN"/>
        </w:rPr>
        <w:t>+</w:t>
      </w:r>
      <w:r>
        <w:rPr>
          <w:rFonts w:hint="eastAsia" w:ascii="仿宋" w:hAnsi="仿宋" w:eastAsia="仿宋" w:cs="仿宋"/>
          <w:sz w:val="32"/>
          <w:szCs w:val="32"/>
        </w:rPr>
        <w:t>住院6,958.24万元）</w:t>
      </w:r>
      <w:r>
        <w:rPr>
          <w:rFonts w:hint="eastAsia" w:ascii="仿宋" w:hAnsi="仿宋" w:eastAsia="仿宋" w:cs="仿宋"/>
          <w:sz w:val="32"/>
          <w:szCs w:val="32"/>
          <w:lang w:eastAsia="zh-CN"/>
        </w:rPr>
        <w:t>，</w:t>
      </w:r>
      <w:r>
        <w:rPr>
          <w:rFonts w:hint="eastAsia" w:ascii="仿宋" w:hAnsi="仿宋" w:eastAsia="仿宋" w:cs="仿宋"/>
          <w:sz w:val="32"/>
          <w:szCs w:val="32"/>
        </w:rPr>
        <w:t>2025年上半年医疗收入：11,983.62万元（门诊5,564.33万元</w:t>
      </w:r>
      <w:r>
        <w:rPr>
          <w:rFonts w:hint="eastAsia" w:ascii="仿宋" w:hAnsi="仿宋" w:eastAsia="仿宋" w:cs="仿宋"/>
          <w:sz w:val="32"/>
          <w:szCs w:val="32"/>
          <w:lang w:val="en-US" w:eastAsia="zh-CN"/>
        </w:rPr>
        <w:t>+</w:t>
      </w:r>
      <w:r>
        <w:rPr>
          <w:rFonts w:hint="eastAsia" w:ascii="仿宋" w:hAnsi="仿宋" w:eastAsia="仿宋" w:cs="仿宋"/>
          <w:sz w:val="32"/>
          <w:szCs w:val="32"/>
        </w:rPr>
        <w:t>住院6,419.29万元）</w:t>
      </w:r>
      <w:r>
        <w:rPr>
          <w:rFonts w:hint="eastAsia" w:ascii="仿宋" w:hAnsi="仿宋" w:eastAsia="仿宋" w:cs="仿宋"/>
          <w:sz w:val="32"/>
          <w:szCs w:val="32"/>
          <w:lang w:eastAsia="zh-CN"/>
        </w:rPr>
        <w:t>，</w:t>
      </w:r>
      <w:r>
        <w:rPr>
          <w:rFonts w:hint="eastAsia" w:ascii="仿宋" w:hAnsi="仿宋" w:eastAsia="仿宋" w:cs="仿宋"/>
          <w:sz w:val="32"/>
          <w:szCs w:val="32"/>
        </w:rPr>
        <w:t>同比变化：下降543.83万元（-4.34%）</w:t>
      </w:r>
    </w:p>
    <w:p w14:paraId="01600B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三、收入结构分析</w:t>
      </w:r>
    </w:p>
    <w:p w14:paraId="6B2553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bookmarkStart w:id="0" w:name="_GoBack"/>
      <w:r>
        <w:rPr>
          <w:rFonts w:hint="eastAsia" w:ascii="仿宋" w:hAnsi="仿宋" w:eastAsia="仿宋" w:cs="仿宋"/>
          <w:sz w:val="32"/>
          <w:szCs w:val="32"/>
        </w:rPr>
        <w:t>1</w:t>
      </w:r>
      <w:r>
        <w:rPr>
          <w:rFonts w:hint="eastAsia" w:ascii="仿宋" w:hAnsi="仿宋" w:eastAsia="仿宋" w:cs="仿宋"/>
          <w:sz w:val="32"/>
          <w:szCs w:val="32"/>
          <w:lang w:eastAsia="zh-CN"/>
        </w:rPr>
        <w:t>、</w:t>
      </w:r>
      <w:bookmarkEnd w:id="0"/>
      <w:r>
        <w:rPr>
          <w:rFonts w:hint="eastAsia" w:ascii="仿宋" w:hAnsi="仿宋" w:eastAsia="仿宋" w:cs="仿宋"/>
          <w:sz w:val="32"/>
          <w:szCs w:val="32"/>
        </w:rPr>
        <w:t>医疗服务收入</w:t>
      </w:r>
    </w:p>
    <w:p w14:paraId="616403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2024年：3,572.46万元（门诊1,301.78万元 + 住院2,270.68万元）</w:t>
      </w:r>
    </w:p>
    <w:p w14:paraId="134B63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2025年：3,399.62万元（门诊1,283.11万元 + 住院2,116.51万元）</w:t>
      </w:r>
    </w:p>
    <w:p w14:paraId="754885F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变化：下降172.84万元（-4.84%），占比从28.52%降至28.37%</w:t>
      </w:r>
    </w:p>
    <w:p w14:paraId="44DDA0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检查检验收入</w:t>
      </w:r>
    </w:p>
    <w:p w14:paraId="3BD68D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2024年：4,472.47万元（门诊2,191.93万元 + 住院2,280.54万元）</w:t>
      </w:r>
    </w:p>
    <w:p w14:paraId="2E0913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2025年：4,307.71万元（门诊2,208.17万元 + 住院2,099.54万元）</w:t>
      </w:r>
    </w:p>
    <w:p w14:paraId="58EA80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变化：下降164.76万元（-3.68%），占比从35.71%降至35.96%</w:t>
      </w:r>
    </w:p>
    <w:p w14:paraId="43DACF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卫生材料收入</w:t>
      </w:r>
    </w:p>
    <w:p w14:paraId="1626CF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2024年：1,333.55万元（门诊126.83万元 + 住院1,206.72万元）</w:t>
      </w:r>
    </w:p>
    <w:p w14:paraId="4ABFEF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2025年：1,197.32万元（门诊115.69万元 + 住院1,081.63万元）</w:t>
      </w:r>
    </w:p>
    <w:p w14:paraId="049066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变化：下降136.23万元（-10.22%），占比从10.65%降至9.99%</w:t>
      </w:r>
    </w:p>
    <w:p w14:paraId="4DA851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四、业务量指标对比</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2236"/>
        <w:gridCol w:w="1830"/>
        <w:gridCol w:w="1830"/>
        <w:gridCol w:w="1280"/>
        <w:gridCol w:w="1280"/>
      </w:tblGrid>
      <w:tr w14:paraId="4FAD3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150" w:type="dxa"/>
              <w:left w:w="0" w:type="dxa"/>
              <w:bottom w:w="150" w:type="dxa"/>
              <w:right w:w="150" w:type="dxa"/>
            </w:tcMar>
            <w:vAlign w:val="center"/>
          </w:tcPr>
          <w:p w14:paraId="3D77A3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指标</w:t>
            </w:r>
          </w:p>
        </w:tc>
        <w:tc>
          <w:tcPr>
            <w:tcW w:w="0" w:type="auto"/>
            <w:shd w:val="clear" w:color="auto" w:fill="auto"/>
            <w:tcMar>
              <w:top w:w="150" w:type="dxa"/>
              <w:left w:w="150" w:type="dxa"/>
              <w:bottom w:w="150" w:type="dxa"/>
              <w:right w:w="150" w:type="dxa"/>
            </w:tcMar>
            <w:vAlign w:val="center"/>
          </w:tcPr>
          <w:p w14:paraId="66006B6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2024年上半年</w:t>
            </w:r>
          </w:p>
        </w:tc>
        <w:tc>
          <w:tcPr>
            <w:tcW w:w="0" w:type="auto"/>
            <w:shd w:val="clear" w:color="auto" w:fill="auto"/>
            <w:tcMar>
              <w:top w:w="150" w:type="dxa"/>
              <w:left w:w="150" w:type="dxa"/>
              <w:bottom w:w="150" w:type="dxa"/>
              <w:right w:w="150" w:type="dxa"/>
            </w:tcMar>
            <w:vAlign w:val="center"/>
          </w:tcPr>
          <w:p w14:paraId="641CD1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2025年上半年</w:t>
            </w:r>
          </w:p>
        </w:tc>
        <w:tc>
          <w:tcPr>
            <w:tcW w:w="0" w:type="auto"/>
            <w:shd w:val="clear" w:color="auto" w:fill="auto"/>
            <w:tcMar>
              <w:top w:w="150" w:type="dxa"/>
              <w:left w:w="150" w:type="dxa"/>
              <w:bottom w:w="150" w:type="dxa"/>
              <w:right w:w="150" w:type="dxa"/>
            </w:tcMar>
            <w:vAlign w:val="center"/>
          </w:tcPr>
          <w:p w14:paraId="7E36F5D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变化量</w:t>
            </w:r>
          </w:p>
        </w:tc>
        <w:tc>
          <w:tcPr>
            <w:tcW w:w="0" w:type="auto"/>
            <w:shd w:val="clear" w:color="auto" w:fill="auto"/>
            <w:tcMar>
              <w:top w:w="150" w:type="dxa"/>
              <w:left w:w="150" w:type="dxa"/>
              <w:bottom w:w="150" w:type="dxa"/>
              <w:right w:w="150" w:type="dxa"/>
            </w:tcMar>
            <w:vAlign w:val="center"/>
          </w:tcPr>
          <w:p w14:paraId="2C78C9D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变化率</w:t>
            </w:r>
          </w:p>
        </w:tc>
      </w:tr>
      <w:tr w14:paraId="2025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150" w:type="dxa"/>
            </w:tcMar>
            <w:vAlign w:val="center"/>
          </w:tcPr>
          <w:p w14:paraId="3711E29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门诊人次数</w:t>
            </w:r>
          </w:p>
        </w:tc>
        <w:tc>
          <w:tcPr>
            <w:tcW w:w="0" w:type="auto"/>
            <w:shd w:val="clear" w:color="auto" w:fill="auto"/>
            <w:tcMar>
              <w:top w:w="150" w:type="dxa"/>
              <w:left w:w="150" w:type="dxa"/>
              <w:bottom w:w="150" w:type="dxa"/>
              <w:right w:w="150" w:type="dxa"/>
            </w:tcMar>
            <w:vAlign w:val="center"/>
          </w:tcPr>
          <w:p w14:paraId="197F2B7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176,548</w:t>
            </w:r>
          </w:p>
        </w:tc>
        <w:tc>
          <w:tcPr>
            <w:tcW w:w="0" w:type="auto"/>
            <w:shd w:val="clear" w:color="auto" w:fill="auto"/>
            <w:tcMar>
              <w:top w:w="150" w:type="dxa"/>
              <w:left w:w="150" w:type="dxa"/>
              <w:bottom w:w="150" w:type="dxa"/>
              <w:right w:w="150" w:type="dxa"/>
            </w:tcMar>
            <w:vAlign w:val="center"/>
          </w:tcPr>
          <w:p w14:paraId="7F4E2F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181,625</w:t>
            </w:r>
          </w:p>
        </w:tc>
        <w:tc>
          <w:tcPr>
            <w:tcW w:w="0" w:type="auto"/>
            <w:shd w:val="clear" w:color="auto" w:fill="auto"/>
            <w:tcMar>
              <w:top w:w="150" w:type="dxa"/>
              <w:left w:w="150" w:type="dxa"/>
              <w:bottom w:w="150" w:type="dxa"/>
              <w:right w:w="150" w:type="dxa"/>
            </w:tcMar>
            <w:vAlign w:val="center"/>
          </w:tcPr>
          <w:p w14:paraId="3EB45B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+5,077</w:t>
            </w:r>
          </w:p>
        </w:tc>
        <w:tc>
          <w:tcPr>
            <w:tcW w:w="0" w:type="auto"/>
            <w:shd w:val="clear" w:color="auto" w:fill="auto"/>
            <w:tcMar>
              <w:top w:w="150" w:type="dxa"/>
              <w:left w:w="150" w:type="dxa"/>
              <w:bottom w:w="150" w:type="dxa"/>
              <w:right w:w="150" w:type="dxa"/>
            </w:tcMar>
            <w:vAlign w:val="center"/>
          </w:tcPr>
          <w:p w14:paraId="5E9326A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+2.88%</w:t>
            </w:r>
          </w:p>
        </w:tc>
      </w:tr>
      <w:tr w14:paraId="74F5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150" w:type="dxa"/>
            </w:tcMar>
            <w:vAlign w:val="center"/>
          </w:tcPr>
          <w:p w14:paraId="4CA8EE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出院人次数</w:t>
            </w:r>
          </w:p>
        </w:tc>
        <w:tc>
          <w:tcPr>
            <w:tcW w:w="0" w:type="auto"/>
            <w:shd w:val="clear" w:color="auto" w:fill="auto"/>
            <w:tcMar>
              <w:top w:w="150" w:type="dxa"/>
              <w:left w:w="150" w:type="dxa"/>
              <w:bottom w:w="150" w:type="dxa"/>
              <w:right w:w="150" w:type="dxa"/>
            </w:tcMar>
            <w:vAlign w:val="center"/>
          </w:tcPr>
          <w:p w14:paraId="4540A05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12,296</w:t>
            </w:r>
          </w:p>
        </w:tc>
        <w:tc>
          <w:tcPr>
            <w:tcW w:w="0" w:type="auto"/>
            <w:shd w:val="clear" w:color="auto" w:fill="auto"/>
            <w:tcMar>
              <w:top w:w="150" w:type="dxa"/>
              <w:left w:w="150" w:type="dxa"/>
              <w:bottom w:w="150" w:type="dxa"/>
              <w:right w:w="150" w:type="dxa"/>
            </w:tcMar>
            <w:vAlign w:val="center"/>
          </w:tcPr>
          <w:p w14:paraId="0EB96A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12,072</w:t>
            </w:r>
          </w:p>
        </w:tc>
        <w:tc>
          <w:tcPr>
            <w:tcW w:w="0" w:type="auto"/>
            <w:shd w:val="clear" w:color="auto" w:fill="auto"/>
            <w:tcMar>
              <w:top w:w="150" w:type="dxa"/>
              <w:left w:w="150" w:type="dxa"/>
              <w:bottom w:w="150" w:type="dxa"/>
              <w:right w:w="150" w:type="dxa"/>
            </w:tcMar>
            <w:vAlign w:val="center"/>
          </w:tcPr>
          <w:p w14:paraId="3F1E2A5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-224</w:t>
            </w:r>
          </w:p>
        </w:tc>
        <w:tc>
          <w:tcPr>
            <w:tcW w:w="0" w:type="auto"/>
            <w:shd w:val="clear" w:color="auto" w:fill="auto"/>
            <w:tcMar>
              <w:top w:w="150" w:type="dxa"/>
              <w:left w:w="150" w:type="dxa"/>
              <w:bottom w:w="150" w:type="dxa"/>
              <w:right w:w="150" w:type="dxa"/>
            </w:tcMar>
            <w:vAlign w:val="center"/>
          </w:tcPr>
          <w:p w14:paraId="6705543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-1.82%</w:t>
            </w:r>
          </w:p>
        </w:tc>
      </w:tr>
      <w:tr w14:paraId="6E85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150" w:type="dxa"/>
            </w:tcMar>
            <w:vAlign w:val="center"/>
          </w:tcPr>
          <w:p w14:paraId="6CA901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出院患者占用总床日数</w:t>
            </w:r>
          </w:p>
        </w:tc>
        <w:tc>
          <w:tcPr>
            <w:tcW w:w="0" w:type="auto"/>
            <w:shd w:val="clear" w:color="auto" w:fill="auto"/>
            <w:tcMar>
              <w:top w:w="150" w:type="dxa"/>
              <w:left w:w="150" w:type="dxa"/>
              <w:bottom w:w="150" w:type="dxa"/>
              <w:right w:w="150" w:type="dxa"/>
            </w:tcMar>
            <w:vAlign w:val="center"/>
          </w:tcPr>
          <w:p w14:paraId="725B0E6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77,490</w:t>
            </w:r>
          </w:p>
        </w:tc>
        <w:tc>
          <w:tcPr>
            <w:tcW w:w="0" w:type="auto"/>
            <w:shd w:val="clear" w:color="auto" w:fill="auto"/>
            <w:tcMar>
              <w:top w:w="150" w:type="dxa"/>
              <w:left w:w="150" w:type="dxa"/>
              <w:bottom w:w="150" w:type="dxa"/>
              <w:right w:w="150" w:type="dxa"/>
            </w:tcMar>
            <w:vAlign w:val="center"/>
          </w:tcPr>
          <w:p w14:paraId="2559418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67,345</w:t>
            </w:r>
          </w:p>
        </w:tc>
        <w:tc>
          <w:tcPr>
            <w:tcW w:w="0" w:type="auto"/>
            <w:shd w:val="clear" w:color="auto" w:fill="auto"/>
            <w:tcMar>
              <w:top w:w="150" w:type="dxa"/>
              <w:left w:w="150" w:type="dxa"/>
              <w:bottom w:w="150" w:type="dxa"/>
              <w:right w:w="150" w:type="dxa"/>
            </w:tcMar>
            <w:vAlign w:val="center"/>
          </w:tcPr>
          <w:p w14:paraId="2C4EAE6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-10,145</w:t>
            </w:r>
          </w:p>
        </w:tc>
        <w:tc>
          <w:tcPr>
            <w:tcW w:w="0" w:type="auto"/>
            <w:shd w:val="clear" w:color="auto" w:fill="auto"/>
            <w:tcMar>
              <w:top w:w="150" w:type="dxa"/>
              <w:left w:w="150" w:type="dxa"/>
              <w:bottom w:w="150" w:type="dxa"/>
              <w:right w:w="150" w:type="dxa"/>
            </w:tcMar>
            <w:vAlign w:val="center"/>
          </w:tcPr>
          <w:p w14:paraId="10D81F6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-13.09%</w:t>
            </w:r>
          </w:p>
        </w:tc>
      </w:tr>
    </w:tbl>
    <w:p w14:paraId="5B289B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五、关键发现</w:t>
      </w:r>
    </w:p>
    <w:p w14:paraId="133D9D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收入下降但门诊量上升：在门诊量增长2.88%的情况下，门诊收入反而下降0.09%，可能反映出人均门诊消费水平下降或价格调整。</w:t>
      </w:r>
    </w:p>
    <w:p w14:paraId="033651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住院业务显著收缩：</w:t>
      </w:r>
    </w:p>
    <w:p w14:paraId="35ED9B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住院收入下降538.95万元（-7.74%）</w:t>
      </w:r>
    </w:p>
    <w:p w14:paraId="00670D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出院患者占用总床日数大幅减少13.09%</w:t>
      </w:r>
    </w:p>
    <w:p w14:paraId="22191C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平均住院日从6.30天降至5.58天（计算方式：总床日数/出院人次数）</w:t>
      </w:r>
    </w:p>
    <w:p w14:paraId="33B1DA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收入结构优化：卫生材料收入占比下降明显（10.65%→9.99%）</w:t>
      </w:r>
    </w:p>
    <w:p w14:paraId="61ACB9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医疗服务收入占比基本稳定</w:t>
      </w:r>
      <w:r>
        <w:rPr>
          <w:rFonts w:hint="eastAsia" w:ascii="仿宋" w:hAnsi="仿宋" w:eastAsia="仿宋" w:cs="仿宋"/>
          <w:sz w:val="32"/>
          <w:szCs w:val="32"/>
          <w:lang w:eastAsia="zh-CN"/>
        </w:rPr>
        <w:t>；</w:t>
      </w:r>
    </w:p>
    <w:p w14:paraId="782D516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检查检验收入变化：门诊检查检验收入微增0.74%</w:t>
      </w:r>
      <w:r>
        <w:rPr>
          <w:rFonts w:hint="eastAsia" w:ascii="仿宋" w:hAnsi="仿宋" w:eastAsia="仿宋" w:cs="仿宋"/>
          <w:sz w:val="32"/>
          <w:szCs w:val="32"/>
          <w:lang w:eastAsia="zh-CN"/>
        </w:rPr>
        <w:t>；</w:t>
      </w:r>
      <w:r>
        <w:rPr>
          <w:rFonts w:hint="eastAsia" w:ascii="仿宋" w:hAnsi="仿宋" w:eastAsia="仿宋" w:cs="仿宋"/>
          <w:sz w:val="32"/>
          <w:szCs w:val="32"/>
        </w:rPr>
        <w:t>住院检查检验收入下降7.94%</w:t>
      </w:r>
    </w:p>
    <w:p w14:paraId="7C7A795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42701A30">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康平县卫生健康局</w:t>
      </w:r>
    </w:p>
    <w:p w14:paraId="0943554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2025年8月12日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9F5E65"/>
    <w:rsid w:val="2F2E6FE6"/>
    <w:rsid w:val="3DBD7F65"/>
    <w:rsid w:val="41126768"/>
    <w:rsid w:val="47E05677"/>
    <w:rsid w:val="4D815253"/>
    <w:rsid w:val="551740FD"/>
    <w:rsid w:val="5AAB75B9"/>
    <w:rsid w:val="7E53749D"/>
    <w:rsid w:val="7E597E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Emphasis"/>
    <w:basedOn w:val="7"/>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872</Words>
  <Characters>1256</Characters>
  <Lines>0</Lines>
  <Paragraphs>0</Paragraphs>
  <TotalTime>18</TotalTime>
  <ScaleCrop>false</ScaleCrop>
  <LinksUpToDate>false</LinksUpToDate>
  <CharactersWithSpaces>1303</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2025-08-12T00:37:00Z</dcterms:created>
  <dc:creator>Admin</dc:creator>
  <cp:lastModifiedBy>疯狂的叫花鸡</cp:lastModifiedBy>
  <dcterms:modified xsi:type="dcterms:W3CDTF">2025-08-12T08:52:00Z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2052-12.1.0.22483</vt:lpwstr>
  </property>
  <property fmtid="{D5CDD505-2E9C-101B-9397-08002B2CF9AE}" pid="3" name="KSOTemplateDocerSaveRecord">
    <vt:lpwstr>eyJoZGlkIjoiYzBmYjZiODQ5MWM5MGI3NDFmY2Y2NmU1ZjJhYTk5YjYiLCJ1c2VySWQiOiIyMTI0OTYzODQifQ==</vt:lpwstr>
  </property>
  <property fmtid="{D5CDD505-2E9C-101B-9397-08002B2CF9AE}" pid="4" name="ICV">
    <vt:lpwstr>DC1581A15A654A2C8BE0D95ED01E6087_12</vt:lpwstr>
  </property>
</Properties>
</file>