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sz w:val="44"/>
          <w:szCs w:val="44"/>
        </w:rPr>
      </w:pPr>
      <w:r>
        <w:rPr>
          <w:rFonts w:hint="eastAsia"/>
          <w:b/>
          <w:bCs/>
          <w:sz w:val="44"/>
          <w:szCs w:val="44"/>
          <w:lang w:val="en-US" w:eastAsia="zh-CN"/>
        </w:rPr>
        <w:t>住建容缺办理事项清单</w:t>
      </w:r>
    </w:p>
    <w:tbl>
      <w:tblPr>
        <w:tblStyle w:val="3"/>
        <w:tblW w:w="0" w:type="auto"/>
        <w:tblInd w:w="0" w:type="dxa"/>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070"/>
        <w:gridCol w:w="2070"/>
        <w:gridCol w:w="2070"/>
        <w:gridCol w:w="2100"/>
      </w:tblGrid>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600" w:hRule="atLeast"/>
        </w:trPr>
        <w:tc>
          <w:tcPr>
            <w:tcW w:w="2070"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center"/>
          </w:tcPr>
          <w:p>
            <w:pPr>
              <w:pStyle w:val="2"/>
              <w:keepNext w:val="0"/>
              <w:keepLines w:val="0"/>
              <w:widowControl/>
              <w:suppressLineNumbers w:val="0"/>
              <w:spacing w:before="0" w:beforeAutospacing="0" w:after="0" w:afterAutospacing="0"/>
              <w:ind w:left="0" w:right="0" w:firstLine="0"/>
              <w:jc w:val="center"/>
              <w:rPr>
                <w:rFonts w:ascii="等线" w:hAnsi="等线" w:eastAsia="等线" w:cs="等线"/>
                <w:sz w:val="21"/>
                <w:szCs w:val="21"/>
              </w:rPr>
            </w:pPr>
            <w:r>
              <w:rPr>
                <w:rStyle w:val="5"/>
                <w:rFonts w:ascii="仿宋" w:hAnsi="仿宋" w:eastAsia="仿宋" w:cs="仿宋"/>
                <w:sz w:val="31"/>
                <w:szCs w:val="31"/>
              </w:rPr>
              <w:t>序号</w:t>
            </w:r>
          </w:p>
        </w:tc>
        <w:tc>
          <w:tcPr>
            <w:tcW w:w="2070" w:type="dxa"/>
            <w:tcBorders>
              <w:top w:val="single" w:color="auto" w:sz="6" w:space="0"/>
              <w:left w:val="nil"/>
              <w:bottom w:val="single" w:color="auto" w:sz="6" w:space="0"/>
              <w:right w:val="single" w:color="auto" w:sz="6" w:space="0"/>
            </w:tcBorders>
            <w:shd w:val="clear" w:color="auto" w:fill="auto"/>
            <w:tcMar>
              <w:left w:w="105" w:type="dxa"/>
              <w:right w:w="105" w:type="dxa"/>
            </w:tcMar>
            <w:vAlign w:val="center"/>
          </w:tcPr>
          <w:p>
            <w:pPr>
              <w:pStyle w:val="2"/>
              <w:keepNext w:val="0"/>
              <w:keepLines w:val="0"/>
              <w:widowControl/>
              <w:suppressLineNumbers w:val="0"/>
              <w:spacing w:before="0" w:beforeAutospacing="0" w:after="0" w:afterAutospacing="0"/>
              <w:ind w:left="0" w:right="0" w:firstLine="0"/>
              <w:jc w:val="center"/>
              <w:rPr>
                <w:rFonts w:hint="eastAsia" w:ascii="等线" w:hAnsi="等线" w:eastAsia="等线" w:cs="等线"/>
                <w:sz w:val="21"/>
                <w:szCs w:val="21"/>
              </w:rPr>
            </w:pPr>
            <w:r>
              <w:rPr>
                <w:rStyle w:val="5"/>
                <w:rFonts w:hint="eastAsia" w:ascii="仿宋" w:hAnsi="仿宋" w:eastAsia="仿宋" w:cs="仿宋"/>
                <w:sz w:val="31"/>
                <w:szCs w:val="31"/>
              </w:rPr>
              <w:t>业务事项</w:t>
            </w:r>
          </w:p>
        </w:tc>
        <w:tc>
          <w:tcPr>
            <w:tcW w:w="2070" w:type="dxa"/>
            <w:tcBorders>
              <w:top w:val="single" w:color="auto" w:sz="6" w:space="0"/>
              <w:left w:val="nil"/>
              <w:bottom w:val="single" w:color="auto" w:sz="6" w:space="0"/>
              <w:right w:val="single" w:color="auto" w:sz="6" w:space="0"/>
            </w:tcBorders>
            <w:shd w:val="clear" w:color="auto" w:fill="auto"/>
            <w:tcMar>
              <w:left w:w="105" w:type="dxa"/>
              <w:right w:w="105" w:type="dxa"/>
            </w:tcMar>
            <w:vAlign w:val="center"/>
          </w:tcPr>
          <w:p>
            <w:pPr>
              <w:pStyle w:val="2"/>
              <w:keepNext w:val="0"/>
              <w:keepLines w:val="0"/>
              <w:widowControl/>
              <w:suppressLineNumbers w:val="0"/>
              <w:spacing w:before="0" w:beforeAutospacing="0" w:after="0" w:afterAutospacing="0"/>
              <w:ind w:left="0" w:right="0" w:firstLine="0"/>
              <w:jc w:val="center"/>
              <w:rPr>
                <w:rFonts w:hint="eastAsia" w:ascii="等线" w:hAnsi="等线" w:eastAsia="等线" w:cs="等线"/>
                <w:sz w:val="21"/>
                <w:szCs w:val="21"/>
              </w:rPr>
            </w:pPr>
            <w:r>
              <w:rPr>
                <w:rStyle w:val="5"/>
                <w:rFonts w:hint="eastAsia" w:ascii="仿宋" w:hAnsi="仿宋" w:eastAsia="仿宋" w:cs="仿宋"/>
                <w:sz w:val="31"/>
                <w:szCs w:val="31"/>
              </w:rPr>
              <w:t>可容缺资料</w:t>
            </w:r>
          </w:p>
        </w:tc>
        <w:tc>
          <w:tcPr>
            <w:tcW w:w="2100" w:type="dxa"/>
            <w:tcBorders>
              <w:top w:val="single" w:color="auto" w:sz="6" w:space="0"/>
              <w:left w:val="nil"/>
              <w:bottom w:val="single" w:color="auto" w:sz="6" w:space="0"/>
              <w:right w:val="single" w:color="auto" w:sz="6" w:space="0"/>
            </w:tcBorders>
            <w:shd w:val="clear" w:color="auto" w:fill="auto"/>
            <w:tcMar>
              <w:left w:w="105" w:type="dxa"/>
              <w:right w:w="105" w:type="dxa"/>
            </w:tcMar>
            <w:vAlign w:val="center"/>
          </w:tcPr>
          <w:p>
            <w:pPr>
              <w:pStyle w:val="2"/>
              <w:keepNext w:val="0"/>
              <w:keepLines w:val="0"/>
              <w:widowControl/>
              <w:suppressLineNumbers w:val="0"/>
              <w:spacing w:before="0" w:beforeAutospacing="0" w:after="0" w:afterAutospacing="0"/>
              <w:ind w:left="0" w:right="0" w:firstLine="0"/>
              <w:jc w:val="center"/>
              <w:rPr>
                <w:rFonts w:hint="eastAsia" w:ascii="等线" w:hAnsi="等线" w:eastAsia="等线" w:cs="等线"/>
                <w:sz w:val="21"/>
                <w:szCs w:val="21"/>
              </w:rPr>
            </w:pPr>
            <w:r>
              <w:rPr>
                <w:rStyle w:val="5"/>
                <w:rFonts w:hint="eastAsia" w:ascii="仿宋" w:hAnsi="仿宋" w:eastAsia="仿宋" w:cs="仿宋"/>
                <w:sz w:val="31"/>
                <w:szCs w:val="31"/>
              </w:rPr>
              <w:t>资料来源</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00" w:hRule="atLeast"/>
        </w:trPr>
        <w:tc>
          <w:tcPr>
            <w:tcW w:w="2070"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2"/>
              <w:keepNext w:val="0"/>
              <w:keepLines w:val="0"/>
              <w:widowControl/>
              <w:suppressLineNumbers w:val="0"/>
              <w:spacing w:before="0" w:beforeAutospacing="0" w:after="0" w:afterAutospacing="0"/>
              <w:ind w:left="0" w:right="0" w:firstLine="0"/>
              <w:jc w:val="center"/>
              <w:rPr>
                <w:rFonts w:hint="eastAsia" w:ascii="等线" w:hAnsi="等线" w:eastAsia="等线" w:cs="等线"/>
                <w:sz w:val="21"/>
                <w:szCs w:val="21"/>
              </w:rPr>
            </w:pPr>
            <w:r>
              <w:rPr>
                <w:rFonts w:hint="eastAsia" w:ascii="仿宋" w:hAnsi="仿宋" w:eastAsia="仿宋" w:cs="仿宋"/>
                <w:sz w:val="31"/>
                <w:szCs w:val="31"/>
              </w:rPr>
              <w:t>1</w:t>
            </w:r>
          </w:p>
        </w:tc>
        <w:tc>
          <w:tcPr>
            <w:tcW w:w="2070" w:type="dxa"/>
            <w:tcBorders>
              <w:top w:val="nil"/>
              <w:left w:val="nil"/>
              <w:bottom w:val="single" w:color="auto" w:sz="6" w:space="0"/>
              <w:right w:val="single" w:color="auto" w:sz="6" w:space="0"/>
            </w:tcBorders>
            <w:shd w:val="clear" w:color="auto" w:fill="auto"/>
            <w:tcMar>
              <w:left w:w="105" w:type="dxa"/>
              <w:right w:w="105" w:type="dxa"/>
            </w:tcMar>
            <w:vAlign w:val="center"/>
          </w:tcPr>
          <w:p>
            <w:pPr>
              <w:pStyle w:val="2"/>
              <w:keepNext w:val="0"/>
              <w:keepLines w:val="0"/>
              <w:widowControl/>
              <w:suppressLineNumbers w:val="0"/>
              <w:spacing w:before="0" w:beforeAutospacing="0" w:after="0" w:afterAutospacing="0"/>
              <w:ind w:left="0" w:right="0" w:firstLine="0"/>
              <w:rPr>
                <w:rFonts w:hint="eastAsia" w:ascii="等线" w:hAnsi="等线" w:eastAsia="等线" w:cs="等线"/>
                <w:sz w:val="21"/>
                <w:szCs w:val="21"/>
              </w:rPr>
            </w:pPr>
            <w:r>
              <w:rPr>
                <w:rFonts w:hint="eastAsia" w:ascii="仿宋" w:hAnsi="仿宋" w:eastAsia="仿宋" w:cs="仿宋"/>
                <w:sz w:val="31"/>
                <w:szCs w:val="31"/>
              </w:rPr>
              <w:t>拆除、改动城镇排水与污水处理设施方案审核</w:t>
            </w:r>
          </w:p>
        </w:tc>
        <w:tc>
          <w:tcPr>
            <w:tcW w:w="2070" w:type="dxa"/>
            <w:tcBorders>
              <w:top w:val="nil"/>
              <w:left w:val="nil"/>
              <w:bottom w:val="single" w:color="auto" w:sz="6" w:space="0"/>
              <w:right w:val="single" w:color="auto" w:sz="6" w:space="0"/>
            </w:tcBorders>
            <w:shd w:val="clear" w:color="auto" w:fill="auto"/>
            <w:tcMar>
              <w:left w:w="105" w:type="dxa"/>
              <w:right w:w="105" w:type="dxa"/>
            </w:tcMar>
            <w:vAlign w:val="center"/>
          </w:tcPr>
          <w:p>
            <w:pPr>
              <w:pStyle w:val="2"/>
              <w:keepNext w:val="0"/>
              <w:keepLines w:val="0"/>
              <w:widowControl/>
              <w:suppressLineNumbers w:val="0"/>
              <w:wordWrap w:val="0"/>
              <w:spacing w:before="0" w:beforeAutospacing="0" w:after="0" w:afterAutospacing="0"/>
              <w:ind w:left="0" w:right="0" w:firstLine="0"/>
              <w:rPr>
                <w:rFonts w:hint="eastAsia" w:ascii="等线" w:hAnsi="等线" w:eastAsia="等线" w:cs="等线"/>
                <w:sz w:val="21"/>
                <w:szCs w:val="21"/>
              </w:rPr>
            </w:pPr>
            <w:r>
              <w:rPr>
                <w:rFonts w:hint="eastAsia" w:ascii="仿宋" w:hAnsi="仿宋" w:eastAsia="仿宋" w:cs="仿宋"/>
                <w:color w:val="333333"/>
                <w:spacing w:val="0"/>
                <w:sz w:val="31"/>
                <w:szCs w:val="31"/>
                <w:shd w:val="clear" w:fill="F9F9F9"/>
              </w:rPr>
              <w:t>建设用地规划许可</w:t>
            </w:r>
          </w:p>
        </w:tc>
        <w:tc>
          <w:tcPr>
            <w:tcW w:w="2100" w:type="dxa"/>
            <w:tcBorders>
              <w:top w:val="nil"/>
              <w:left w:val="nil"/>
              <w:bottom w:val="single" w:color="auto" w:sz="6" w:space="0"/>
              <w:right w:val="single" w:color="auto" w:sz="6" w:space="0"/>
            </w:tcBorders>
            <w:shd w:val="clear" w:color="auto" w:fill="auto"/>
            <w:tcMar>
              <w:left w:w="105" w:type="dxa"/>
              <w:right w:w="105" w:type="dxa"/>
            </w:tcMar>
            <w:vAlign w:val="center"/>
          </w:tcPr>
          <w:p>
            <w:pPr>
              <w:pStyle w:val="2"/>
              <w:keepNext w:val="0"/>
              <w:keepLines w:val="0"/>
              <w:widowControl/>
              <w:suppressLineNumbers w:val="0"/>
              <w:spacing w:before="0" w:beforeAutospacing="0" w:after="0" w:afterAutospacing="0"/>
              <w:ind w:left="0" w:right="0" w:firstLine="0"/>
              <w:rPr>
                <w:rFonts w:hint="eastAsia" w:ascii="等线" w:hAnsi="等线" w:eastAsia="等线" w:cs="等线"/>
                <w:sz w:val="21"/>
                <w:szCs w:val="21"/>
              </w:rPr>
            </w:pPr>
            <w:r>
              <w:rPr>
                <w:rFonts w:hint="eastAsia" w:ascii="仿宋" w:hAnsi="仿宋" w:eastAsia="仿宋" w:cs="仿宋"/>
                <w:sz w:val="31"/>
                <w:szCs w:val="31"/>
              </w:rPr>
              <w:t>申请人自备</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50" w:hRule="atLeast"/>
        </w:trPr>
        <w:tc>
          <w:tcPr>
            <w:tcW w:w="2070"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2"/>
              <w:keepNext w:val="0"/>
              <w:keepLines w:val="0"/>
              <w:widowControl/>
              <w:suppressLineNumbers w:val="0"/>
              <w:spacing w:before="0" w:beforeAutospacing="0" w:after="0" w:afterAutospacing="0"/>
              <w:ind w:left="0" w:right="0" w:firstLine="0"/>
              <w:jc w:val="center"/>
              <w:rPr>
                <w:rFonts w:hint="eastAsia" w:ascii="等线" w:hAnsi="等线" w:eastAsia="等线" w:cs="等线"/>
                <w:sz w:val="21"/>
                <w:szCs w:val="21"/>
              </w:rPr>
            </w:pPr>
            <w:bookmarkStart w:id="0" w:name="_GoBack"/>
            <w:bookmarkEnd w:id="0"/>
            <w:r>
              <w:rPr>
                <w:rFonts w:hint="eastAsia" w:ascii="仿宋" w:hAnsi="仿宋" w:eastAsia="仿宋" w:cs="仿宋"/>
                <w:sz w:val="31"/>
                <w:szCs w:val="31"/>
              </w:rPr>
              <w:t>2</w:t>
            </w:r>
          </w:p>
        </w:tc>
        <w:tc>
          <w:tcPr>
            <w:tcW w:w="2070" w:type="dxa"/>
            <w:tcBorders>
              <w:top w:val="nil"/>
              <w:left w:val="nil"/>
              <w:bottom w:val="single" w:color="auto" w:sz="6" w:space="0"/>
              <w:right w:val="single" w:color="auto" w:sz="6" w:space="0"/>
            </w:tcBorders>
            <w:shd w:val="clear" w:color="auto" w:fill="auto"/>
            <w:tcMar>
              <w:left w:w="105" w:type="dxa"/>
              <w:right w:w="105" w:type="dxa"/>
            </w:tcMar>
            <w:vAlign w:val="center"/>
          </w:tcPr>
          <w:p>
            <w:pPr>
              <w:pStyle w:val="2"/>
              <w:keepNext w:val="0"/>
              <w:keepLines w:val="0"/>
              <w:widowControl/>
              <w:suppressLineNumbers w:val="0"/>
              <w:spacing w:before="0" w:beforeAutospacing="0" w:after="0" w:afterAutospacing="0"/>
              <w:ind w:left="0" w:right="0" w:firstLine="0"/>
              <w:rPr>
                <w:rFonts w:hint="eastAsia" w:ascii="等线" w:hAnsi="等线" w:eastAsia="等线" w:cs="等线"/>
                <w:sz w:val="21"/>
                <w:szCs w:val="21"/>
              </w:rPr>
            </w:pPr>
            <w:r>
              <w:rPr>
                <w:rFonts w:hint="eastAsia" w:ascii="仿宋" w:hAnsi="仿宋" w:eastAsia="仿宋" w:cs="仿宋"/>
                <w:sz w:val="31"/>
                <w:szCs w:val="31"/>
              </w:rPr>
              <w:t>城镇排水与污水处理设施方案审查</w:t>
            </w:r>
          </w:p>
        </w:tc>
        <w:tc>
          <w:tcPr>
            <w:tcW w:w="2070" w:type="dxa"/>
            <w:tcBorders>
              <w:top w:val="nil"/>
              <w:left w:val="nil"/>
              <w:bottom w:val="single" w:color="auto" w:sz="6" w:space="0"/>
              <w:right w:val="single" w:color="auto" w:sz="6" w:space="0"/>
            </w:tcBorders>
            <w:shd w:val="clear" w:color="auto" w:fill="auto"/>
            <w:tcMar>
              <w:left w:w="105" w:type="dxa"/>
              <w:right w:w="105" w:type="dxa"/>
            </w:tcMar>
            <w:vAlign w:val="center"/>
          </w:tcPr>
          <w:p>
            <w:pPr>
              <w:pStyle w:val="2"/>
              <w:keepNext w:val="0"/>
              <w:keepLines w:val="0"/>
              <w:widowControl/>
              <w:suppressLineNumbers w:val="0"/>
              <w:spacing w:before="0" w:beforeAutospacing="0" w:after="0" w:afterAutospacing="0"/>
              <w:ind w:left="0" w:right="0" w:firstLine="0"/>
              <w:rPr>
                <w:rFonts w:hint="eastAsia" w:ascii="等线" w:hAnsi="等线" w:eastAsia="等线" w:cs="等线"/>
                <w:sz w:val="21"/>
                <w:szCs w:val="21"/>
              </w:rPr>
            </w:pPr>
            <w:r>
              <w:rPr>
                <w:rFonts w:hint="eastAsia" w:ascii="仿宋" w:hAnsi="仿宋" w:eastAsia="仿宋" w:cs="仿宋"/>
                <w:color w:val="333333"/>
                <w:spacing w:val="0"/>
                <w:sz w:val="31"/>
                <w:szCs w:val="31"/>
                <w:shd w:val="clear" w:fill="F5F5F5"/>
              </w:rPr>
              <w:t>建筑工程规划许可证（市政）（免提交）</w:t>
            </w:r>
          </w:p>
        </w:tc>
        <w:tc>
          <w:tcPr>
            <w:tcW w:w="2100" w:type="dxa"/>
            <w:tcBorders>
              <w:top w:val="nil"/>
              <w:left w:val="nil"/>
              <w:bottom w:val="single" w:color="auto" w:sz="6" w:space="0"/>
              <w:right w:val="single" w:color="auto" w:sz="6" w:space="0"/>
            </w:tcBorders>
            <w:shd w:val="clear" w:color="auto" w:fill="auto"/>
            <w:tcMar>
              <w:left w:w="105" w:type="dxa"/>
              <w:right w:w="105" w:type="dxa"/>
            </w:tcMar>
            <w:vAlign w:val="center"/>
          </w:tcPr>
          <w:p>
            <w:pPr>
              <w:pStyle w:val="2"/>
              <w:keepNext w:val="0"/>
              <w:keepLines w:val="0"/>
              <w:widowControl/>
              <w:suppressLineNumbers w:val="0"/>
              <w:spacing w:before="0" w:beforeAutospacing="0" w:after="0" w:afterAutospacing="0"/>
              <w:ind w:left="0" w:right="0" w:firstLine="0"/>
              <w:rPr>
                <w:rFonts w:hint="eastAsia" w:ascii="等线" w:hAnsi="等线" w:eastAsia="等线" w:cs="等线"/>
                <w:sz w:val="21"/>
                <w:szCs w:val="21"/>
              </w:rPr>
            </w:pPr>
            <w:r>
              <w:rPr>
                <w:rFonts w:hint="eastAsia" w:ascii="仿宋" w:hAnsi="仿宋" w:eastAsia="仿宋" w:cs="仿宋"/>
                <w:sz w:val="31"/>
                <w:szCs w:val="31"/>
              </w:rPr>
              <w:t>政府部门核发</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00" w:hRule="atLeast"/>
        </w:trPr>
        <w:tc>
          <w:tcPr>
            <w:tcW w:w="2070"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2"/>
              <w:keepNext w:val="0"/>
              <w:keepLines w:val="0"/>
              <w:widowControl/>
              <w:suppressLineNumbers w:val="0"/>
              <w:spacing w:before="0" w:beforeAutospacing="0" w:after="0" w:afterAutospacing="0"/>
              <w:ind w:left="0" w:right="0" w:firstLine="0"/>
              <w:jc w:val="center"/>
              <w:rPr>
                <w:rFonts w:hint="eastAsia" w:ascii="等线" w:hAnsi="等线" w:eastAsia="等线" w:cs="等线"/>
                <w:sz w:val="21"/>
                <w:szCs w:val="21"/>
              </w:rPr>
            </w:pPr>
            <w:r>
              <w:rPr>
                <w:rFonts w:hint="eastAsia" w:ascii="仿宋" w:hAnsi="仿宋" w:eastAsia="仿宋" w:cs="仿宋"/>
                <w:sz w:val="31"/>
                <w:szCs w:val="31"/>
              </w:rPr>
              <w:t>3</w:t>
            </w:r>
          </w:p>
        </w:tc>
        <w:tc>
          <w:tcPr>
            <w:tcW w:w="2070" w:type="dxa"/>
            <w:tcBorders>
              <w:top w:val="nil"/>
              <w:left w:val="nil"/>
              <w:bottom w:val="single" w:color="auto" w:sz="6" w:space="0"/>
              <w:right w:val="single" w:color="auto" w:sz="6" w:space="0"/>
            </w:tcBorders>
            <w:shd w:val="clear" w:color="auto" w:fill="auto"/>
            <w:tcMar>
              <w:left w:w="105" w:type="dxa"/>
              <w:right w:w="105" w:type="dxa"/>
            </w:tcMar>
            <w:vAlign w:val="center"/>
          </w:tcPr>
          <w:p>
            <w:pPr>
              <w:pStyle w:val="2"/>
              <w:keepNext w:val="0"/>
              <w:keepLines w:val="0"/>
              <w:widowControl/>
              <w:suppressLineNumbers w:val="0"/>
              <w:spacing w:before="0" w:beforeAutospacing="0" w:after="0" w:afterAutospacing="0"/>
              <w:ind w:left="0" w:right="0" w:firstLine="0"/>
              <w:rPr>
                <w:rFonts w:hint="eastAsia" w:ascii="等线" w:hAnsi="等线" w:eastAsia="等线" w:cs="等线"/>
                <w:sz w:val="21"/>
                <w:szCs w:val="21"/>
              </w:rPr>
            </w:pPr>
            <w:r>
              <w:rPr>
                <w:rFonts w:hint="eastAsia" w:ascii="仿宋" w:hAnsi="仿宋" w:eastAsia="仿宋" w:cs="仿宋"/>
                <w:sz w:val="31"/>
                <w:szCs w:val="31"/>
              </w:rPr>
              <w:t>城镇污水排入排水</w:t>
            </w:r>
            <w:r>
              <w:rPr>
                <w:rFonts w:hint="eastAsia" w:ascii="仿宋" w:hAnsi="仿宋" w:eastAsia="仿宋" w:cs="仿宋"/>
                <w:sz w:val="31"/>
                <w:szCs w:val="31"/>
                <w:lang w:eastAsia="zh-CN"/>
              </w:rPr>
              <w:t>管</w:t>
            </w:r>
            <w:r>
              <w:rPr>
                <w:rFonts w:hint="eastAsia" w:ascii="仿宋" w:hAnsi="仿宋" w:eastAsia="仿宋" w:cs="仿宋"/>
                <w:sz w:val="31"/>
                <w:szCs w:val="31"/>
              </w:rPr>
              <w:t>网许可</w:t>
            </w:r>
          </w:p>
        </w:tc>
        <w:tc>
          <w:tcPr>
            <w:tcW w:w="2070" w:type="dxa"/>
            <w:tcBorders>
              <w:top w:val="nil"/>
              <w:left w:val="nil"/>
              <w:bottom w:val="single" w:color="auto" w:sz="6" w:space="0"/>
              <w:right w:val="single" w:color="auto" w:sz="6" w:space="0"/>
            </w:tcBorders>
            <w:shd w:val="clear" w:color="auto" w:fill="auto"/>
            <w:tcMar>
              <w:left w:w="105" w:type="dxa"/>
              <w:right w:w="105" w:type="dxa"/>
            </w:tcMar>
            <w:vAlign w:val="center"/>
          </w:tcPr>
          <w:p>
            <w:pPr>
              <w:pStyle w:val="2"/>
              <w:keepNext w:val="0"/>
              <w:keepLines w:val="0"/>
              <w:widowControl/>
              <w:suppressLineNumbers w:val="0"/>
              <w:spacing w:before="0" w:beforeAutospacing="0" w:after="0" w:afterAutospacing="0"/>
              <w:ind w:left="0" w:right="0" w:firstLine="0"/>
              <w:rPr>
                <w:rFonts w:hint="eastAsia" w:ascii="等线" w:hAnsi="等线" w:eastAsia="等线" w:cs="等线"/>
                <w:sz w:val="21"/>
                <w:szCs w:val="21"/>
              </w:rPr>
            </w:pPr>
            <w:r>
              <w:rPr>
                <w:rFonts w:hint="eastAsia" w:ascii="仿宋" w:hAnsi="仿宋" w:eastAsia="仿宋" w:cs="仿宋"/>
                <w:color w:val="333333"/>
                <w:spacing w:val="0"/>
                <w:sz w:val="31"/>
                <w:szCs w:val="31"/>
                <w:shd w:val="clear" w:fill="FFFFFF"/>
              </w:rPr>
              <w:t>授权委托书</w:t>
            </w:r>
          </w:p>
        </w:tc>
        <w:tc>
          <w:tcPr>
            <w:tcW w:w="2100" w:type="dxa"/>
            <w:tcBorders>
              <w:top w:val="nil"/>
              <w:left w:val="nil"/>
              <w:bottom w:val="single" w:color="auto" w:sz="6" w:space="0"/>
              <w:right w:val="single" w:color="auto" w:sz="6" w:space="0"/>
            </w:tcBorders>
            <w:shd w:val="clear" w:color="auto" w:fill="auto"/>
            <w:tcMar>
              <w:left w:w="105" w:type="dxa"/>
              <w:right w:w="105" w:type="dxa"/>
            </w:tcMar>
            <w:vAlign w:val="center"/>
          </w:tcPr>
          <w:p>
            <w:pPr>
              <w:pStyle w:val="2"/>
              <w:keepNext w:val="0"/>
              <w:keepLines w:val="0"/>
              <w:widowControl/>
              <w:suppressLineNumbers w:val="0"/>
              <w:spacing w:before="0" w:beforeAutospacing="0" w:after="0" w:afterAutospacing="0"/>
              <w:ind w:left="0" w:right="0" w:firstLine="0"/>
              <w:rPr>
                <w:rFonts w:hint="eastAsia" w:ascii="等线" w:hAnsi="等线" w:eastAsia="等线" w:cs="等线"/>
                <w:sz w:val="21"/>
                <w:szCs w:val="21"/>
              </w:rPr>
            </w:pPr>
            <w:r>
              <w:rPr>
                <w:rFonts w:hint="eastAsia" w:ascii="仿宋" w:hAnsi="仿宋" w:eastAsia="仿宋" w:cs="仿宋"/>
                <w:sz w:val="31"/>
                <w:szCs w:val="31"/>
              </w:rPr>
              <w:t>申请人自备</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00" w:hRule="atLeast"/>
        </w:trPr>
        <w:tc>
          <w:tcPr>
            <w:tcW w:w="8295" w:type="dxa"/>
            <w:gridSpan w:val="4"/>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2"/>
              <w:keepNext w:val="0"/>
              <w:keepLines w:val="0"/>
              <w:widowControl/>
              <w:suppressLineNumbers w:val="0"/>
              <w:spacing w:before="0" w:beforeAutospacing="0" w:after="0" w:afterAutospacing="0"/>
              <w:ind w:left="0" w:right="0" w:firstLine="0"/>
              <w:jc w:val="center"/>
              <w:rPr>
                <w:rFonts w:hint="eastAsia" w:ascii="等线" w:hAnsi="等线" w:eastAsia="等线" w:cs="等线"/>
                <w:sz w:val="21"/>
                <w:szCs w:val="21"/>
              </w:rPr>
            </w:pPr>
            <w:r>
              <w:rPr>
                <w:rFonts w:hint="eastAsia" w:ascii="仿宋" w:hAnsi="仿宋" w:eastAsia="仿宋" w:cs="仿宋"/>
                <w:sz w:val="31"/>
                <w:szCs w:val="31"/>
              </w:rPr>
              <w:t>补正期限：20个工作日</w:t>
            </w:r>
          </w:p>
        </w:tc>
      </w:tr>
    </w:tbl>
    <w:p>
      <w:pPr>
        <w:rPr>
          <w:rFonts w:hint="eastAsia" w:ascii="方正楷体_GB2312" w:hAnsi="方正楷体_GB2312" w:eastAsia="方正楷体_GB2312" w:cs="方正楷体_GB2312"/>
          <w:b w:val="0"/>
          <w:bCs w:val="0"/>
          <w:sz w:val="24"/>
          <w:szCs w:val="24"/>
          <w:lang w:eastAsia="zh-CN"/>
        </w:rPr>
      </w:pPr>
      <w:r>
        <w:rPr>
          <w:rFonts w:hint="eastAsia" w:ascii="方正楷体_GB2312" w:hAnsi="方正楷体_GB2312" w:eastAsia="方正楷体_GB2312" w:cs="方正楷体_GB2312"/>
          <w:b w:val="0"/>
          <w:bCs w:val="0"/>
          <w:sz w:val="24"/>
          <w:szCs w:val="24"/>
        </w:rPr>
        <w:t>注：一个业务事项涉及多种可容缺资料的，可同时容缺</w:t>
      </w:r>
      <w:r>
        <w:rPr>
          <w:rFonts w:hint="eastAsia" w:ascii="方正楷体_GB2312" w:hAnsi="方正楷体_GB2312" w:eastAsia="方正楷体_GB2312" w:cs="方正楷体_GB2312"/>
          <w:b w:val="0"/>
          <w:bCs w:val="0"/>
          <w:sz w:val="24"/>
          <w:szCs w:val="24"/>
          <w:lang w:eastAsia="zh-CN"/>
        </w:rPr>
        <w:t>。</w:t>
      </w:r>
    </w:p>
    <w:p/>
    <w:p/>
    <w:p/>
    <w:p/>
    <w:p/>
    <w:p/>
    <w:p/>
    <w:p/>
    <w:p/>
    <w:p/>
    <w:p/>
    <w:p/>
    <w:p/>
    <w:p/>
    <w:p/>
    <w:p>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b/>
          <w:bCs/>
          <w:sz w:val="44"/>
          <w:szCs w:val="44"/>
        </w:rPr>
      </w:pPr>
      <w:r>
        <w:rPr>
          <w:rFonts w:hint="eastAsia"/>
          <w:b/>
          <w:bCs/>
          <w:sz w:val="44"/>
          <w:szCs w:val="44"/>
          <w:lang w:val="en-US" w:eastAsia="zh-CN"/>
        </w:rPr>
        <w:t>城镇排水与污水处理设施方案审查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城镇排水与污水处理规划范围内的城镇排水与污水处理设施建设项目以及需要与城镇排水与污水处理设施相连接的新建、改建、扩建建设工程，城乡规划主管部门在依法核发建设用地规划许可证时，应当征求城镇排水主管部门的意见。</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黑体" w:hAnsi="黑体" w:eastAsia="黑体" w:cs="黑体"/>
          <w:b/>
          <w:bCs/>
          <w:sz w:val="32"/>
          <w:szCs w:val="32"/>
          <w:lang w:eastAsia="zh-CN"/>
        </w:rPr>
      </w:pPr>
      <w:r>
        <w:rPr>
          <w:rFonts w:hint="eastAsia" w:ascii="黑体" w:hAnsi="黑体" w:eastAsia="黑体" w:cs="黑体"/>
          <w:b/>
          <w:bCs/>
          <w:sz w:val="32"/>
          <w:szCs w:val="32"/>
        </w:rPr>
        <w:t>需提供要件</w:t>
      </w:r>
      <w:r>
        <w:rPr>
          <w:rFonts w:hint="eastAsia" w:ascii="黑体" w:hAnsi="黑体" w:eastAsia="黑体" w:cs="黑体"/>
          <w:b/>
          <w:bCs/>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①城镇排水与污水处理设施方案审查申请表 (申请人自备）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②符合城镇排水与污水处理规划相关标准的排水设施设计方案(申请人自备）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③建筑工程规划许可证（市政）(免提交）</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黑体" w:hAnsi="黑体" w:eastAsia="黑体" w:cs="黑体"/>
          <w:b/>
          <w:bCs/>
          <w:sz w:val="32"/>
          <w:szCs w:val="32"/>
          <w:lang w:eastAsia="zh-CN"/>
        </w:rPr>
      </w:pPr>
      <w:r>
        <w:rPr>
          <w:rFonts w:hint="eastAsia" w:ascii="黑体" w:hAnsi="黑体" w:eastAsia="黑体" w:cs="黑体"/>
          <w:b/>
          <w:bCs/>
          <w:sz w:val="32"/>
          <w:szCs w:val="32"/>
        </w:rPr>
        <w:t>办理路径</w:t>
      </w:r>
      <w:r>
        <w:rPr>
          <w:rFonts w:hint="eastAsia" w:ascii="黑体" w:hAnsi="黑体" w:eastAsia="黑体" w:cs="黑体"/>
          <w:b/>
          <w:bCs/>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①窗口办：康平县迎宾路政务服务中心</w:t>
      </w:r>
      <w:r>
        <w:rPr>
          <w:rFonts w:hint="eastAsia" w:ascii="仿宋" w:hAnsi="仿宋" w:eastAsia="仿宋" w:cs="仿宋"/>
          <w:sz w:val="32"/>
          <w:szCs w:val="32"/>
          <w:lang w:val="en-US" w:eastAsia="zh-CN"/>
        </w:rPr>
        <w:t>1</w:t>
      </w:r>
      <w:r>
        <w:rPr>
          <w:rFonts w:hint="eastAsia" w:ascii="仿宋" w:hAnsi="仿宋" w:eastAsia="仿宋" w:cs="仿宋"/>
          <w:sz w:val="32"/>
          <w:szCs w:val="32"/>
        </w:rPr>
        <w:t>楼</w:t>
      </w:r>
      <w:r>
        <w:rPr>
          <w:rFonts w:hint="eastAsia" w:ascii="仿宋" w:hAnsi="仿宋" w:eastAsia="仿宋" w:cs="仿宋"/>
          <w:sz w:val="32"/>
          <w:szCs w:val="32"/>
          <w:lang w:val="en-US" w:eastAsia="zh-CN"/>
        </w:rPr>
        <w:t>C区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napToGrid/>
          <w:kern w:val="21"/>
          <w:sz w:val="32"/>
          <w:szCs w:val="32"/>
        </w:rPr>
      </w:pPr>
      <w:r>
        <w:rPr>
          <w:rFonts w:hint="eastAsia" w:ascii="仿宋" w:hAnsi="仿宋" w:eastAsia="仿宋" w:cs="仿宋"/>
          <w:snapToGrid/>
          <w:kern w:val="21"/>
          <w:sz w:val="32"/>
          <w:szCs w:val="32"/>
        </w:rPr>
        <w:t>②网上办：沈阳政务服务网：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napToGrid/>
          <w:kern w:val="21"/>
          <w:sz w:val="32"/>
          <w:szCs w:val="32"/>
        </w:rPr>
      </w:pPr>
      <w:r>
        <w:rPr>
          <w:rFonts w:hint="eastAsia" w:ascii="仿宋" w:hAnsi="仿宋" w:eastAsia="仿宋" w:cs="仿宋"/>
          <w:snapToGrid/>
          <w:kern w:val="21"/>
          <w:sz w:val="32"/>
          <w:szCs w:val="32"/>
        </w:rPr>
        <w:t>http://zwfw.shenyang.gov.cn/syzwdt/epointzwmhwz/pages/eventdetail/personaleventdetail?taskguid=804aacd3-7cb4-4f17-9d00-90ef9f822f8d&amp;taskid=cd905b13-d4aa-432a-a427-387dd81f9611</w:t>
      </w:r>
    </w:p>
    <w:p>
      <w:pPr>
        <w:rPr>
          <w:sz w:val="32"/>
          <w:szCs w:val="32"/>
        </w:rPr>
      </w:pPr>
    </w:p>
    <w:p/>
    <w:p/>
    <w:p/>
    <w:p/>
    <w:p/>
    <w:p/>
    <w:p/>
    <w:p/>
    <w:p>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eastAsia" w:ascii="宋体" w:hAnsi="宋体" w:eastAsia="宋体" w:cs="宋体"/>
          <w:b/>
          <w:bCs/>
          <w:sz w:val="44"/>
          <w:szCs w:val="44"/>
        </w:rPr>
      </w:pPr>
      <w:r>
        <w:rPr>
          <w:rFonts w:hint="eastAsia" w:ascii="宋体" w:hAnsi="宋体" w:eastAsia="宋体" w:cs="宋体"/>
          <w:b/>
          <w:bCs/>
          <w:sz w:val="44"/>
          <w:szCs w:val="44"/>
          <w:lang w:val="en-US" w:eastAsia="zh-CN"/>
        </w:rPr>
        <w:t>城镇排水与污水处理设施竣工验收备案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从事工业、建筑、餐饮、医疗等活动的企业事业单位、个体工商户向城镇排水设施排放污水的行为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需提供要件</w:t>
      </w:r>
      <w:r>
        <w:rPr>
          <w:rFonts w:hint="eastAsia" w:ascii="黑体" w:hAnsi="黑体" w:eastAsia="黑体" w:cs="黑体"/>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①工程竣工验收报告(申请人自备）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②城镇排水与污水处理设施建设工程竣工图（内、外网）(申请人自备）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③授权委托书(申请人自备）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办理路径</w:t>
      </w:r>
      <w:r>
        <w:rPr>
          <w:rFonts w:hint="eastAsia" w:ascii="黑体" w:hAnsi="黑体" w:eastAsia="黑体" w:cs="黑体"/>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①窗口办：康平县迎宾路政务服务中心</w:t>
      </w:r>
      <w:r>
        <w:rPr>
          <w:rFonts w:hint="eastAsia" w:ascii="仿宋" w:hAnsi="仿宋" w:eastAsia="仿宋" w:cs="仿宋"/>
          <w:sz w:val="32"/>
          <w:szCs w:val="32"/>
          <w:lang w:val="en-US" w:eastAsia="zh-CN"/>
        </w:rPr>
        <w:t>1</w:t>
      </w:r>
      <w:r>
        <w:rPr>
          <w:rFonts w:hint="eastAsia" w:ascii="仿宋" w:hAnsi="仿宋" w:eastAsia="仿宋" w:cs="仿宋"/>
          <w:sz w:val="32"/>
          <w:szCs w:val="32"/>
        </w:rPr>
        <w:t>楼</w:t>
      </w:r>
      <w:r>
        <w:rPr>
          <w:rFonts w:hint="eastAsia" w:ascii="仿宋" w:hAnsi="仿宋" w:eastAsia="仿宋" w:cs="仿宋"/>
          <w:sz w:val="32"/>
          <w:szCs w:val="32"/>
          <w:lang w:val="en-US" w:eastAsia="zh-CN"/>
        </w:rPr>
        <w:t>C区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②网上办：沈阳政务服务网：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H</w:t>
      </w:r>
      <w:r>
        <w:rPr>
          <w:rFonts w:hint="eastAsia" w:ascii="仿宋" w:hAnsi="仿宋" w:eastAsia="仿宋" w:cs="仿宋"/>
          <w:sz w:val="32"/>
          <w:szCs w:val="32"/>
        </w:rPr>
        <w:t>http://zwfw.shenyang.gov.cn/syzwdt/epointzwmhwz/pages/eventdetail/personaleventdetail?taskguid=83ca7388-b4fa-4428-9dbf-bf020bace786&amp;taskid=03f412ad-a17c-46d2-98a0-e1b019dda7e5</w:t>
      </w:r>
    </w:p>
    <w:p>
      <w:pPr>
        <w:rPr>
          <w:rFonts w:hint="eastAsia" w:ascii="仿宋" w:hAnsi="仿宋" w:eastAsia="仿宋" w:cs="仿宋"/>
          <w:sz w:val="32"/>
          <w:szCs w:val="32"/>
        </w:rPr>
      </w:pPr>
    </w:p>
    <w:p/>
    <w:p/>
    <w:p/>
    <w:p/>
    <w:p/>
    <w:p/>
    <w:p/>
    <w:p/>
    <w:p/>
    <w:p/>
    <w:p/>
    <w:p/>
    <w:p>
      <w:pPr>
        <w:keepNext w:val="0"/>
        <w:keepLines w:val="0"/>
        <w:pageBreakBefore w:val="0"/>
        <w:widowControl w:val="0"/>
        <w:kinsoku/>
        <w:wordWrap/>
        <w:overflowPunct/>
        <w:topLinePunct w:val="0"/>
        <w:autoSpaceDE/>
        <w:autoSpaceDN/>
        <w:bidi w:val="0"/>
        <w:adjustRightInd/>
        <w:snapToGrid/>
        <w:spacing w:after="313" w:afterLines="100"/>
        <w:jc w:val="center"/>
        <w:textAlignment w:val="auto"/>
        <w:rPr>
          <w:b/>
          <w:bCs/>
          <w:sz w:val="44"/>
          <w:szCs w:val="44"/>
        </w:rPr>
      </w:pPr>
      <w:r>
        <w:rPr>
          <w:rFonts w:hint="eastAsia"/>
          <w:b/>
          <w:bCs/>
          <w:sz w:val="44"/>
          <w:szCs w:val="44"/>
          <w:lang w:val="en-US" w:eastAsia="zh-CN"/>
        </w:rPr>
        <w:t>因工程建设需要拆除、改动、迁移供水、排水与污水处理设施审核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城镇排水与污水处理条例》（2013年10月2日国务院令第641号）第四十三条：……因工程建设需要拆除、改动城镇排水与污水处理设施的，建设单位应当制定拆除、改动方案，报城镇排水主管部门审核，并承担重建、改建和采取临时措施的费用。 《城市供水条例》（1994年7月19日国务院令第158号）第三十条：因工程建设确需改装、拆除或者迁移城市公共供水设施的，建设单位应当报经县级以上人民政府城市规划行政主管部门和城市供水行政主管部门批准，并采取相应的补救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需提供要件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①与供水单位共同制定的改装、拆除或者迁移城市公共供水设施施工方案（申请人自备）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②与供水单位共同制定的改装城市公共供水设施施工方案  （申请人自备）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③申请书（申请人自备）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④规划部门批准意见（申请人自备）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⑤与供水单位共同制定的拆除城市公共供水设施施工方案  （申请人自备）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⑥与供水单位共同制定的迁移城市公共供水设施施工方案（申请人自备）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办理路径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①窗口办：康平县迎宾路政务服务中心</w:t>
      </w:r>
      <w:r>
        <w:rPr>
          <w:rFonts w:hint="eastAsia" w:ascii="仿宋" w:hAnsi="仿宋" w:eastAsia="仿宋" w:cs="仿宋"/>
          <w:sz w:val="32"/>
          <w:szCs w:val="32"/>
          <w:lang w:val="en-US" w:eastAsia="zh-CN"/>
        </w:rPr>
        <w:t>1</w:t>
      </w:r>
      <w:r>
        <w:rPr>
          <w:rFonts w:hint="eastAsia" w:ascii="仿宋" w:hAnsi="仿宋" w:eastAsia="仿宋" w:cs="仿宋"/>
          <w:sz w:val="32"/>
          <w:szCs w:val="32"/>
        </w:rPr>
        <w:t>楼</w:t>
      </w:r>
      <w:r>
        <w:rPr>
          <w:rFonts w:hint="eastAsia" w:ascii="仿宋" w:hAnsi="仿宋" w:eastAsia="仿宋" w:cs="仿宋"/>
          <w:sz w:val="32"/>
          <w:szCs w:val="32"/>
          <w:lang w:val="en-US" w:eastAsia="zh-CN"/>
        </w:rPr>
        <w:t>C区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②网上办：沈阳政务服务网：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"https://zwfw.shenyang.gov.cn/syzwdt/epointzwmhwz/pages/legal/personaleventdetail?taskguid=d8c91782-e22a-4c84-97a2-1aededbd8e62&amp;taskid=d8733505-1253-449f-ac1d-18213eb5031e" </w:instrText>
      </w:r>
      <w:r>
        <w:rPr>
          <w:rFonts w:hint="eastAsia" w:ascii="仿宋" w:hAnsi="仿宋" w:eastAsia="仿宋" w:cs="仿宋"/>
          <w:sz w:val="32"/>
          <w:szCs w:val="32"/>
        </w:rPr>
        <w:fldChar w:fldCharType="separate"/>
      </w:r>
      <w:r>
        <w:rPr>
          <w:rFonts w:hint="eastAsia" w:ascii="仿宋" w:hAnsi="仿宋" w:eastAsia="仿宋" w:cs="仿宋"/>
          <w:sz w:val="32"/>
          <w:szCs w:val="32"/>
        </w:rPr>
        <w:t>https://zwfw.shenyang.gov.cn/syzwdt/epointzwmhwz/pages/legal/personaleventdetail?taskguid=d8c91782-e22a-4c84-97a2-1aededbd8e62&amp;taskid=d8733505-1253-449f-ac1d-18213eb5031e</w:t>
      </w:r>
      <w:r>
        <w:rPr>
          <w:rFonts w:hint="eastAsia" w:ascii="仿宋" w:hAnsi="仿宋" w:eastAsia="仿宋" w:cs="仿宋"/>
          <w:sz w:val="32"/>
          <w:szCs w:val="32"/>
        </w:rPr>
        <w:fldChar w:fldCharType="end"/>
      </w:r>
    </w:p>
    <w:p>
      <w:pPr>
        <w:pStyle w:val="2"/>
        <w:keepNext w:val="0"/>
        <w:keepLines w:val="0"/>
        <w:widowControl/>
        <w:suppressLineNumbers w:val="0"/>
        <w:spacing w:line="375" w:lineRule="atLeast"/>
        <w:ind w:left="0" w:firstLine="480"/>
        <w:rPr>
          <w:rFonts w:ascii="宋体" w:hAnsi="宋体" w:eastAsia="宋体" w:cs="宋体"/>
          <w:i w:val="0"/>
          <w:iCs w:val="0"/>
          <w:caps w:val="0"/>
          <w:color w:val="333333"/>
          <w:spacing w:val="0"/>
          <w:sz w:val="24"/>
          <w:szCs w:val="24"/>
          <w:shd w:val="clear" w:fill="F4F4F4"/>
        </w:rPr>
      </w:pPr>
    </w:p>
    <w:p>
      <w:pPr>
        <w:pStyle w:val="2"/>
        <w:keepNext w:val="0"/>
        <w:keepLines w:val="0"/>
        <w:widowControl/>
        <w:suppressLineNumbers w:val="0"/>
        <w:spacing w:line="375" w:lineRule="atLeast"/>
        <w:ind w:left="0" w:firstLine="480"/>
        <w:rPr>
          <w:rFonts w:ascii="宋体" w:hAnsi="宋体" w:eastAsia="宋体" w:cs="宋体"/>
          <w:i w:val="0"/>
          <w:iCs w:val="0"/>
          <w:caps w:val="0"/>
          <w:color w:val="333333"/>
          <w:spacing w:val="0"/>
          <w:sz w:val="24"/>
          <w:szCs w:val="24"/>
          <w:shd w:val="clear" w:fill="F4F4F4"/>
        </w:rPr>
      </w:pPr>
    </w:p>
    <w:p>
      <w:pPr>
        <w:pStyle w:val="2"/>
        <w:keepNext w:val="0"/>
        <w:keepLines w:val="0"/>
        <w:widowControl/>
        <w:suppressLineNumbers w:val="0"/>
        <w:spacing w:line="375" w:lineRule="atLeast"/>
        <w:ind w:left="0" w:firstLine="480"/>
        <w:rPr>
          <w:rFonts w:ascii="宋体" w:hAnsi="宋体" w:eastAsia="宋体" w:cs="宋体"/>
          <w:i w:val="0"/>
          <w:iCs w:val="0"/>
          <w:caps w:val="0"/>
          <w:color w:val="333333"/>
          <w:spacing w:val="0"/>
          <w:sz w:val="24"/>
          <w:szCs w:val="24"/>
          <w:shd w:val="clear" w:fill="F4F4F4"/>
        </w:rPr>
      </w:pPr>
    </w:p>
    <w:p>
      <w:pPr>
        <w:pStyle w:val="2"/>
        <w:keepNext w:val="0"/>
        <w:keepLines w:val="0"/>
        <w:widowControl/>
        <w:suppressLineNumbers w:val="0"/>
        <w:spacing w:line="375" w:lineRule="atLeast"/>
        <w:ind w:left="0" w:firstLine="480"/>
        <w:rPr>
          <w:rFonts w:ascii="宋体" w:hAnsi="宋体" w:eastAsia="宋体" w:cs="宋体"/>
          <w:i w:val="0"/>
          <w:iCs w:val="0"/>
          <w:caps w:val="0"/>
          <w:color w:val="333333"/>
          <w:spacing w:val="0"/>
          <w:sz w:val="24"/>
          <w:szCs w:val="24"/>
          <w:shd w:val="clear" w:fill="F4F4F4"/>
        </w:rPr>
      </w:pPr>
    </w:p>
    <w:p>
      <w:pPr>
        <w:pStyle w:val="2"/>
        <w:keepNext w:val="0"/>
        <w:keepLines w:val="0"/>
        <w:widowControl/>
        <w:suppressLineNumbers w:val="0"/>
        <w:spacing w:line="375" w:lineRule="atLeast"/>
        <w:ind w:left="0" w:firstLine="480"/>
        <w:rPr>
          <w:rFonts w:ascii="宋体" w:hAnsi="宋体" w:eastAsia="宋体" w:cs="宋体"/>
          <w:i w:val="0"/>
          <w:iCs w:val="0"/>
          <w:caps w:val="0"/>
          <w:color w:val="333333"/>
          <w:spacing w:val="0"/>
          <w:sz w:val="24"/>
          <w:szCs w:val="24"/>
          <w:shd w:val="clear" w:fill="F4F4F4"/>
        </w:rPr>
      </w:pPr>
    </w:p>
    <w:p>
      <w:pPr>
        <w:pStyle w:val="2"/>
        <w:keepNext w:val="0"/>
        <w:keepLines w:val="0"/>
        <w:widowControl/>
        <w:suppressLineNumbers w:val="0"/>
        <w:spacing w:line="375" w:lineRule="atLeast"/>
        <w:ind w:left="0" w:firstLine="480"/>
        <w:rPr>
          <w:rFonts w:ascii="宋体" w:hAnsi="宋体" w:eastAsia="宋体" w:cs="宋体"/>
          <w:i w:val="0"/>
          <w:iCs w:val="0"/>
          <w:caps w:val="0"/>
          <w:color w:val="333333"/>
          <w:spacing w:val="0"/>
          <w:sz w:val="24"/>
          <w:szCs w:val="24"/>
          <w:shd w:val="clear" w:fill="F4F4F4"/>
        </w:rPr>
      </w:pPr>
    </w:p>
    <w:p>
      <w:pPr>
        <w:pStyle w:val="2"/>
        <w:keepNext w:val="0"/>
        <w:keepLines w:val="0"/>
        <w:widowControl/>
        <w:suppressLineNumbers w:val="0"/>
        <w:spacing w:line="375" w:lineRule="atLeast"/>
        <w:ind w:left="0" w:firstLine="480"/>
        <w:rPr>
          <w:rFonts w:ascii="宋体" w:hAnsi="宋体" w:eastAsia="宋体" w:cs="宋体"/>
          <w:i w:val="0"/>
          <w:iCs w:val="0"/>
          <w:caps w:val="0"/>
          <w:color w:val="333333"/>
          <w:spacing w:val="0"/>
          <w:sz w:val="24"/>
          <w:szCs w:val="24"/>
          <w:shd w:val="clear" w:fill="F4F4F4"/>
        </w:rPr>
      </w:pPr>
    </w:p>
    <w:p>
      <w:pPr>
        <w:pStyle w:val="2"/>
        <w:keepNext w:val="0"/>
        <w:keepLines w:val="0"/>
        <w:widowControl/>
        <w:suppressLineNumbers w:val="0"/>
        <w:spacing w:line="375" w:lineRule="atLeast"/>
        <w:ind w:left="0" w:firstLine="480"/>
        <w:rPr>
          <w:rFonts w:ascii="宋体" w:hAnsi="宋体" w:eastAsia="宋体" w:cs="宋体"/>
          <w:i w:val="0"/>
          <w:iCs w:val="0"/>
          <w:caps w:val="0"/>
          <w:color w:val="333333"/>
          <w:spacing w:val="0"/>
          <w:sz w:val="24"/>
          <w:szCs w:val="24"/>
          <w:shd w:val="clear" w:fill="F4F4F4"/>
        </w:rPr>
      </w:pPr>
    </w:p>
    <w:p>
      <w:pPr>
        <w:pStyle w:val="2"/>
        <w:keepNext w:val="0"/>
        <w:keepLines w:val="0"/>
        <w:widowControl/>
        <w:suppressLineNumbers w:val="0"/>
        <w:spacing w:line="375" w:lineRule="atLeast"/>
        <w:ind w:left="0" w:firstLine="480"/>
        <w:rPr>
          <w:rFonts w:ascii="宋体" w:hAnsi="宋体" w:eastAsia="宋体" w:cs="宋体"/>
          <w:i w:val="0"/>
          <w:iCs w:val="0"/>
          <w:caps w:val="0"/>
          <w:color w:val="333333"/>
          <w:spacing w:val="0"/>
          <w:sz w:val="24"/>
          <w:szCs w:val="24"/>
          <w:shd w:val="clear" w:fill="F4F4F4"/>
        </w:rPr>
      </w:pPr>
    </w:p>
    <w:p>
      <w:pPr>
        <w:pStyle w:val="2"/>
        <w:keepNext w:val="0"/>
        <w:keepLines w:val="0"/>
        <w:widowControl/>
        <w:suppressLineNumbers w:val="0"/>
        <w:spacing w:line="375" w:lineRule="atLeast"/>
        <w:ind w:left="0" w:firstLine="480"/>
        <w:rPr>
          <w:rFonts w:ascii="宋体" w:hAnsi="宋体" w:eastAsia="宋体" w:cs="宋体"/>
          <w:i w:val="0"/>
          <w:iCs w:val="0"/>
          <w:caps w:val="0"/>
          <w:color w:val="333333"/>
          <w:spacing w:val="0"/>
          <w:sz w:val="24"/>
          <w:szCs w:val="24"/>
          <w:shd w:val="clear" w:fill="F4F4F4"/>
        </w:rPr>
      </w:pPr>
    </w:p>
    <w:p>
      <w:pPr>
        <w:pStyle w:val="2"/>
        <w:keepNext w:val="0"/>
        <w:keepLines w:val="0"/>
        <w:widowControl/>
        <w:suppressLineNumbers w:val="0"/>
        <w:spacing w:line="375" w:lineRule="atLeast"/>
        <w:ind w:left="0" w:firstLine="480"/>
        <w:rPr>
          <w:rFonts w:ascii="宋体" w:hAnsi="宋体" w:eastAsia="宋体" w:cs="宋体"/>
          <w:i w:val="0"/>
          <w:iCs w:val="0"/>
          <w:caps w:val="0"/>
          <w:color w:val="333333"/>
          <w:spacing w:val="0"/>
          <w:sz w:val="24"/>
          <w:szCs w:val="24"/>
          <w:shd w:val="clear" w:fill="F4F4F4"/>
        </w:rPr>
      </w:pPr>
    </w:p>
    <w:p>
      <w:pPr>
        <w:pStyle w:val="2"/>
        <w:keepNext w:val="0"/>
        <w:keepLines w:val="0"/>
        <w:widowControl/>
        <w:suppressLineNumbers w:val="0"/>
        <w:spacing w:line="375" w:lineRule="atLeast"/>
        <w:ind w:left="0" w:firstLine="480"/>
        <w:rPr>
          <w:rFonts w:ascii="宋体" w:hAnsi="宋体" w:eastAsia="宋体" w:cs="宋体"/>
          <w:i w:val="0"/>
          <w:iCs w:val="0"/>
          <w:caps w:val="0"/>
          <w:color w:val="333333"/>
          <w:spacing w:val="0"/>
          <w:sz w:val="24"/>
          <w:szCs w:val="24"/>
          <w:shd w:val="clear" w:fill="F4F4F4"/>
        </w:rPr>
      </w:pPr>
    </w:p>
    <w:p>
      <w:pPr>
        <w:pStyle w:val="2"/>
        <w:keepNext w:val="0"/>
        <w:keepLines w:val="0"/>
        <w:widowControl/>
        <w:suppressLineNumbers w:val="0"/>
        <w:spacing w:line="375" w:lineRule="atLeast"/>
        <w:ind w:left="0" w:firstLine="480"/>
        <w:rPr>
          <w:rFonts w:ascii="宋体" w:hAnsi="宋体" w:eastAsia="宋体" w:cs="宋体"/>
          <w:i w:val="0"/>
          <w:iCs w:val="0"/>
          <w:caps w:val="0"/>
          <w:color w:val="333333"/>
          <w:spacing w:val="0"/>
          <w:sz w:val="24"/>
          <w:szCs w:val="24"/>
          <w:shd w:val="clear" w:fill="F4F4F4"/>
        </w:rPr>
      </w:pPr>
    </w:p>
    <w:p>
      <w:pPr>
        <w:pStyle w:val="2"/>
        <w:keepNext w:val="0"/>
        <w:keepLines w:val="0"/>
        <w:widowControl/>
        <w:suppressLineNumbers w:val="0"/>
        <w:spacing w:line="375" w:lineRule="atLeast"/>
        <w:ind w:left="0" w:firstLine="480"/>
        <w:rPr>
          <w:rFonts w:ascii="宋体" w:hAnsi="宋体" w:eastAsia="宋体" w:cs="宋体"/>
          <w:i w:val="0"/>
          <w:iCs w:val="0"/>
          <w:caps w:val="0"/>
          <w:color w:val="333333"/>
          <w:spacing w:val="0"/>
          <w:sz w:val="24"/>
          <w:szCs w:val="24"/>
          <w:shd w:val="clear" w:fill="F4F4F4"/>
        </w:rPr>
      </w:pPr>
    </w:p>
    <w:p>
      <w:pPr>
        <w:pStyle w:val="2"/>
        <w:keepNext w:val="0"/>
        <w:keepLines w:val="0"/>
        <w:widowControl/>
        <w:suppressLineNumbers w:val="0"/>
        <w:spacing w:line="375" w:lineRule="atLeast"/>
        <w:ind w:left="0" w:firstLine="480"/>
        <w:rPr>
          <w:rFonts w:ascii="宋体" w:hAnsi="宋体" w:eastAsia="宋体" w:cs="宋体"/>
          <w:i w:val="0"/>
          <w:iCs w:val="0"/>
          <w:caps w:val="0"/>
          <w:color w:val="333333"/>
          <w:spacing w:val="0"/>
          <w:sz w:val="24"/>
          <w:szCs w:val="24"/>
          <w:shd w:val="clear" w:fill="F4F4F4"/>
        </w:rPr>
      </w:pPr>
    </w:p>
    <w:p>
      <w:pPr>
        <w:keepNext w:val="0"/>
        <w:keepLines w:val="0"/>
        <w:pageBreakBefore w:val="0"/>
        <w:widowControl w:val="0"/>
        <w:kinsoku/>
        <w:wordWrap/>
        <w:overflowPunct/>
        <w:topLinePunct w:val="0"/>
        <w:autoSpaceDE/>
        <w:autoSpaceDN/>
        <w:bidi w:val="0"/>
        <w:adjustRightInd/>
        <w:snapToGrid/>
        <w:spacing w:after="313" w:afterLines="100"/>
        <w:jc w:val="center"/>
        <w:textAlignment w:val="auto"/>
        <w:rPr>
          <w:sz w:val="44"/>
          <w:szCs w:val="44"/>
        </w:rPr>
      </w:pPr>
      <w:r>
        <w:rPr>
          <w:rFonts w:hint="eastAsia"/>
          <w:b/>
          <w:bCs/>
          <w:sz w:val="44"/>
          <w:szCs w:val="44"/>
          <w:lang w:val="en-US" w:eastAsia="zh-CN"/>
        </w:rPr>
        <w:t>拆除、改动城镇排水与污水处理设施方案审核</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【行政法规】《城镇排水与污水处理条例》（2013年10月2日国务院令第641号） 第四十三条第四款因工程建设需要拆除、改动城镇排水与污水处理设施的，建设单位应当制定拆除、改动方案，报城镇排水主管部门审核，并承担重建、改建和采取临时措施的费用。 </w:t>
      </w:r>
    </w:p>
    <w:p>
      <w:pPr>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rPr>
        <w:t>需提供要件</w:t>
      </w:r>
      <w:r>
        <w:rPr>
          <w:rFonts w:hint="eastAsia" w:ascii="黑体" w:hAnsi="黑体" w:eastAsia="黑体" w:cs="黑体"/>
          <w:sz w:val="32"/>
          <w:szCs w:val="32"/>
          <w:lang w:val="en-US" w:eastAsia="zh-CN"/>
        </w:rPr>
        <w:t>:</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①行政许可事项申请表 （申请人自备）</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②拆除、改动城镇排水与污水处理设施方案 （第三方出具）</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③建设用地规划许可（政府部门核发）</w:t>
      </w:r>
    </w:p>
    <w:p>
      <w:pPr>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rPr>
        <w:t>办理路径</w:t>
      </w:r>
      <w:r>
        <w:rPr>
          <w:rFonts w:hint="eastAsia" w:ascii="黑体" w:hAnsi="黑体" w:eastAsia="黑体" w:cs="黑体"/>
          <w:sz w:val="32"/>
          <w:szCs w:val="32"/>
          <w:lang w:val="en-US" w:eastAsia="zh-CN"/>
        </w:rPr>
        <w:t>:</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①窗口办：康平县迎宾路政务服务中心</w:t>
      </w:r>
      <w:r>
        <w:rPr>
          <w:rFonts w:hint="eastAsia" w:ascii="仿宋" w:hAnsi="仿宋" w:eastAsia="仿宋" w:cs="仿宋"/>
          <w:sz w:val="32"/>
          <w:szCs w:val="32"/>
          <w:lang w:val="en-US" w:eastAsia="zh-CN"/>
        </w:rPr>
        <w:t>1</w:t>
      </w:r>
      <w:r>
        <w:rPr>
          <w:rFonts w:hint="eastAsia" w:ascii="仿宋" w:hAnsi="仿宋" w:eastAsia="仿宋" w:cs="仿宋"/>
          <w:sz w:val="32"/>
          <w:szCs w:val="32"/>
        </w:rPr>
        <w:t>楼</w:t>
      </w:r>
      <w:r>
        <w:rPr>
          <w:rFonts w:hint="eastAsia" w:ascii="仿宋" w:hAnsi="仿宋" w:eastAsia="仿宋" w:cs="仿宋"/>
          <w:sz w:val="32"/>
          <w:szCs w:val="32"/>
          <w:lang w:val="en-US" w:eastAsia="zh-CN"/>
        </w:rPr>
        <w:t>C区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②网上办：沈阳政务服务网：</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https://zwfw.shenyang.gov.cn/syzwdt/epointzwmhwz/pages/legal/personaleventdetail?taskguid=d21668d0-e064-4440-a3e2-820d24baedfb&amp;taskid=46a99e07-bd62-4902-8ac5-4d4cd1502aeb</w:t>
      </w:r>
    </w:p>
    <w:p>
      <w:pPr>
        <w:rPr>
          <w:rFonts w:hint="eastAsia" w:ascii="仿宋" w:hAnsi="仿宋" w:eastAsia="仿宋" w:cs="仿宋"/>
          <w:sz w:val="32"/>
          <w:szCs w:val="32"/>
        </w:rPr>
      </w:pPr>
    </w:p>
    <w:p/>
    <w:p/>
    <w:p/>
    <w:p/>
    <w:p/>
    <w:p>
      <w:pPr>
        <w:keepNext w:val="0"/>
        <w:keepLines w:val="0"/>
        <w:pageBreakBefore w:val="0"/>
        <w:widowControl w:val="0"/>
        <w:kinsoku/>
        <w:wordWrap/>
        <w:overflowPunct/>
        <w:topLinePunct w:val="0"/>
        <w:autoSpaceDE/>
        <w:autoSpaceDN/>
        <w:bidi w:val="0"/>
        <w:adjustRightInd/>
        <w:snapToGrid/>
        <w:spacing w:after="313" w:afterLines="100"/>
        <w:jc w:val="center"/>
        <w:textAlignment w:val="auto"/>
        <w:rPr>
          <w:rFonts w:hint="eastAsia" w:ascii="宋体" w:hAnsi="宋体" w:eastAsia="宋体" w:cs="宋体"/>
          <w:b/>
          <w:bCs/>
          <w:sz w:val="44"/>
          <w:szCs w:val="44"/>
        </w:rPr>
      </w:pPr>
      <w:r>
        <w:rPr>
          <w:rFonts w:hint="eastAsia" w:ascii="宋体" w:hAnsi="宋体" w:eastAsia="宋体" w:cs="宋体"/>
          <w:b/>
          <w:bCs/>
          <w:sz w:val="44"/>
          <w:szCs w:val="44"/>
          <w:lang w:val="en-US" w:eastAsia="zh-CN"/>
        </w:rPr>
        <w:t>城镇污水排入排水管网许可-变更排水许可证单位名称或法人名称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向城市排水管网及其附属设施排放污水的排水户，应当按照规定申请办理城市排水许可证书。对符合许可条件的，予以核发城市排水许可证书；对不符合许可条件的，由排水管理部门责令限期改正，符合条件后，予以核发城市排水许可证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需提供要件</w:t>
      </w:r>
      <w:r>
        <w:rPr>
          <w:rFonts w:hint="eastAsia" w:ascii="黑体" w:hAnsi="黑体" w:eastAsia="黑体" w:cs="黑体"/>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①排水许可申请表（既有用户或基坑降水用户）(申请人自备）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②污水预处理设施及水质达标排放承诺书（既有用户或基坑降水用户）(申请人自备）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③授权委托书(申请人自备）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④排水许可证（旧证副本）（旧证副本）(申请人自备）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办理路径</w:t>
      </w:r>
      <w:r>
        <w:rPr>
          <w:rFonts w:hint="eastAsia" w:ascii="黑体" w:hAnsi="黑体" w:eastAsia="黑体" w:cs="黑体"/>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①窗口办：康平县迎宾路政务服务中心</w:t>
      </w:r>
      <w:r>
        <w:rPr>
          <w:rFonts w:hint="eastAsia" w:ascii="仿宋" w:hAnsi="仿宋" w:eastAsia="仿宋" w:cs="仿宋"/>
          <w:sz w:val="32"/>
          <w:szCs w:val="32"/>
          <w:lang w:val="en-US" w:eastAsia="zh-CN"/>
        </w:rPr>
        <w:t>1</w:t>
      </w:r>
      <w:r>
        <w:rPr>
          <w:rFonts w:hint="eastAsia" w:ascii="仿宋" w:hAnsi="仿宋" w:eastAsia="仿宋" w:cs="仿宋"/>
          <w:sz w:val="32"/>
          <w:szCs w:val="32"/>
        </w:rPr>
        <w:t>楼</w:t>
      </w:r>
      <w:r>
        <w:rPr>
          <w:rFonts w:hint="eastAsia" w:ascii="仿宋" w:hAnsi="仿宋" w:eastAsia="仿宋" w:cs="仿宋"/>
          <w:sz w:val="32"/>
          <w:szCs w:val="32"/>
          <w:lang w:val="en-US" w:eastAsia="zh-CN"/>
        </w:rPr>
        <w:t>C区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②网上办：沈阳政务服务网：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http://zwfw.shenyang.gov.cn/syzwdt/epointzwmhwz/pages/searchnew/index?wd=%E5%9F%8E%E9%95%87%E6%B1%A1%E6%B0%B4%E6%8E%92%E5%85%A5%E6%8E%92%E6%B0%B4%E7%AE%A1%E7%BD%91%E8%AE%B8%E5%8F%AF-%E5%8F%98%E6%9B%B4%E6%8E%92%E6%B0%B4%E8%AE%B8%E5%8F%AF%E8%AF%81%E5%8D%95%E</w:t>
      </w:r>
    </w:p>
    <w:p/>
    <w:p/>
    <w:p/>
    <w:p>
      <w:pPr>
        <w:jc w:val="center"/>
        <w:rPr>
          <w:rFonts w:hint="eastAsia" w:ascii="宋体" w:hAnsi="宋体" w:eastAsia="宋体" w:cs="宋体"/>
          <w:b/>
          <w:bCs/>
          <w:sz w:val="44"/>
          <w:szCs w:val="44"/>
        </w:rPr>
      </w:pPr>
      <w:r>
        <w:rPr>
          <w:rFonts w:hint="eastAsia" w:ascii="宋体" w:hAnsi="宋体" w:eastAsia="宋体" w:cs="宋体"/>
          <w:b/>
          <w:bCs/>
          <w:sz w:val="44"/>
          <w:szCs w:val="44"/>
          <w:lang w:val="en-US" w:eastAsia="zh-CN"/>
        </w:rPr>
        <w:t>城镇污水排入排水管网许可-延续</w:t>
      </w:r>
    </w:p>
    <w:p>
      <w:pPr>
        <w:rPr>
          <w:rFonts w:hint="eastAsia"/>
        </w:rPr>
      </w:pP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向城市排水管网及其附属设施排放污水的排水户，应当按照规定申请办理城市排水许可证书。对符合许可条件的，予以核发城市排水许可证书；对不符合许可条件的，由排水管理部门责令限期改正，符合条件后，予以核发城市排水许可证书。</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需提供要件</w:t>
      </w:r>
      <w:r>
        <w:rPr>
          <w:rFonts w:hint="eastAsia" w:ascii="黑体" w:hAnsi="黑体" w:eastAsia="黑体" w:cs="黑体"/>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向城市排水管网及其附属设施排放污水的排水户，应当按照规定申请办理城市排水许可证书。对符合许可条件的，予以核发城市排水许可证书；对不符合许可条件的，由排水管理部门责令限期改正，符合条件后，予以核发城市排水许可证书。</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①排水许可申请表（既有用户新申请、基坑降水用户）(申请人自备）</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②污水预处理设施及水质达标排放承诺书（既有用户或基坑降水用户）(申请人自备）</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③排水隐蔽工程质量合格承诺书（既有用户）(申请人自备）</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④排水许可证（旧证副本）(申请人自备）</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⑤授权委托书(申请人自备）</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办理路径</w:t>
      </w:r>
      <w:r>
        <w:rPr>
          <w:rFonts w:hint="eastAsia" w:ascii="黑体" w:hAnsi="黑体" w:eastAsia="黑体" w:cs="黑体"/>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①窗口办：康平县迎宾路政务服务中心</w:t>
      </w:r>
      <w:r>
        <w:rPr>
          <w:rFonts w:hint="eastAsia" w:ascii="仿宋" w:hAnsi="仿宋" w:eastAsia="仿宋" w:cs="仿宋"/>
          <w:sz w:val="32"/>
          <w:szCs w:val="32"/>
          <w:lang w:val="en-US" w:eastAsia="zh-CN"/>
        </w:rPr>
        <w:t>1</w:t>
      </w:r>
      <w:r>
        <w:rPr>
          <w:rFonts w:hint="eastAsia" w:ascii="仿宋" w:hAnsi="仿宋" w:eastAsia="仿宋" w:cs="仿宋"/>
          <w:sz w:val="32"/>
          <w:szCs w:val="32"/>
        </w:rPr>
        <w:t>楼</w:t>
      </w:r>
      <w:r>
        <w:rPr>
          <w:rFonts w:hint="eastAsia" w:ascii="仿宋" w:hAnsi="仿宋" w:eastAsia="仿宋" w:cs="仿宋"/>
          <w:sz w:val="32"/>
          <w:szCs w:val="32"/>
          <w:lang w:val="en-US" w:eastAsia="zh-CN"/>
        </w:rPr>
        <w:t>C区</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②网上办：沈阳政务服务网：</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http://zwfw.shenyang.gov.cn/syzwdt/epointzwmhwz/pages/searchnew/index?wd=%E5%9F%8E%E9%95%87%E6%B1%A1%E6%B0%B4%E6%8E%92%E5%85%A5%E6%8E%92%E6%B0%B4%E7%AE%A1%E7%BD%91%E8%AE%B8%E5%8F%AF-%E5%BB%B6%E7%BB%AD</w:t>
      </w:r>
    </w:p>
    <w:p>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eastAsia" w:ascii="宋体" w:hAnsi="宋体" w:eastAsia="宋体" w:cs="宋体"/>
          <w:b/>
          <w:bCs/>
          <w:sz w:val="44"/>
          <w:szCs w:val="44"/>
        </w:rPr>
      </w:pPr>
      <w:r>
        <w:rPr>
          <w:rFonts w:hint="eastAsia" w:ascii="宋体" w:hAnsi="宋体" w:eastAsia="宋体" w:cs="宋体"/>
          <w:b/>
          <w:bCs/>
          <w:sz w:val="44"/>
          <w:szCs w:val="44"/>
          <w:lang w:val="en-US" w:eastAsia="zh-CN"/>
        </w:rPr>
        <w:t>城镇污水排入排水管网许可-申请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向城市排水管网及其附属设施排放污水的排水户，应当按照规定申请办理城市排水许可证书。对符合许可条件的，予以核发城市排水许可证书；对不符合许可条件的，由排水管理部门责令限期改正，符合条件后，予以核发城市排水许可证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需提供要件</w:t>
      </w:r>
      <w:r>
        <w:rPr>
          <w:rFonts w:hint="eastAsia" w:ascii="黑体" w:hAnsi="黑体" w:eastAsia="黑体" w:cs="黑体"/>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①排水许可申请表（既有用户新申请、基坑降水用户）(申请人自备）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②污水预处理设施及水质达标排放承诺书（既有用户新申请、基坑降水用户）(申请人自备）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③排水户排水管网平面图（基坑降水、新办既有用户）(申请人自备）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④基坑降水或新申请既有用户排水口照片及污水预处理设施照片(申请人自备）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⑤列入重点排污单位名录的排水户提供已安装的主要水污染物排放自动监测设备材料(申请人自备）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⑥排水隐蔽工程质量合格承诺书（既有用户新申请、基坑降水用户）(申请人自备）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⑦授权委托书（只提交1次）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办理路径</w:t>
      </w:r>
      <w:r>
        <w:rPr>
          <w:rFonts w:hint="eastAsia" w:ascii="黑体" w:hAnsi="黑体" w:eastAsia="黑体" w:cs="黑体"/>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①窗口办：康平县迎宾路政务服务中心</w:t>
      </w:r>
      <w:r>
        <w:rPr>
          <w:rFonts w:hint="eastAsia" w:ascii="仿宋" w:hAnsi="仿宋" w:eastAsia="仿宋" w:cs="仿宋"/>
          <w:sz w:val="32"/>
          <w:szCs w:val="32"/>
          <w:lang w:val="en-US" w:eastAsia="zh-CN"/>
        </w:rPr>
        <w:t>1</w:t>
      </w:r>
      <w:r>
        <w:rPr>
          <w:rFonts w:hint="eastAsia" w:ascii="仿宋" w:hAnsi="仿宋" w:eastAsia="仿宋" w:cs="仿宋"/>
          <w:sz w:val="32"/>
          <w:szCs w:val="32"/>
        </w:rPr>
        <w:t>楼</w:t>
      </w:r>
      <w:r>
        <w:rPr>
          <w:rFonts w:hint="eastAsia" w:ascii="仿宋" w:hAnsi="仿宋" w:eastAsia="仿宋" w:cs="仿宋"/>
          <w:sz w:val="32"/>
          <w:szCs w:val="32"/>
          <w:lang w:val="en-US" w:eastAsia="zh-CN"/>
        </w:rPr>
        <w:t>C区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②网上办：沈阳政务服务网：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http://zwfw.shenyang.gov.cn/syzwdt/epointzwmhwz/pages/searchnew/index?wd=.%E5%9F%8E%E9%95%87%E6%B1%A1%E6%B0%B4%E6%8E%92%E5%85%A5%E6%8E%92%E6%B0%B4%E7%AE%A1%E7%BD%91%E8%AE%B8%E5%8F%AF-%E7%94%B3%E8%AF%B7</w:t>
      </w:r>
    </w:p>
    <w:p/>
    <w:p/>
    <w:p/>
    <w:p/>
    <w:p/>
    <w:p/>
    <w:p/>
    <w:p/>
    <w:p/>
    <w:p/>
    <w:p/>
    <w:p/>
    <w:p/>
    <w:p/>
    <w:p/>
    <w:p/>
    <w:p/>
    <w:p/>
    <w:p/>
    <w:p/>
    <w:p/>
    <w:p/>
    <w:p/>
    <w:p/>
    <w:p/>
    <w:p/>
    <w:p/>
    <w:p/>
    <w:p/>
    <w:p/>
    <w:p>
      <w:pPr>
        <w:rPr>
          <w:b/>
          <w:bCs/>
        </w:rPr>
      </w:pPr>
    </w:p>
    <w:p>
      <w:pPr>
        <w:rPr>
          <w:b/>
          <w:bCs/>
        </w:rPr>
      </w:pPr>
    </w:p>
    <w:p/>
    <w:p/>
    <w:p/>
    <w:p/>
    <w:p>
      <w:pPr>
        <w:jc w:val="center"/>
        <w:rPr>
          <w:b/>
          <w:bCs/>
          <w:sz w:val="44"/>
          <w:szCs w:val="44"/>
        </w:rPr>
      </w:pPr>
      <w:r>
        <w:rPr>
          <w:rFonts w:hint="eastAsia"/>
          <w:b/>
          <w:bCs/>
          <w:sz w:val="44"/>
          <w:szCs w:val="44"/>
          <w:lang w:val="en-US" w:eastAsia="zh-CN"/>
        </w:rPr>
        <w:t>市政设施类—因工程建设需要拆除、改动、迁移供水、排水与污水处理设施审核</w:t>
      </w:r>
    </w:p>
    <w:p>
      <w:pPr>
        <w:pStyle w:val="2"/>
        <w:keepNext w:val="0"/>
        <w:keepLines w:val="0"/>
        <w:widowControl/>
        <w:suppressLineNumbers w:val="0"/>
        <w:spacing w:line="375" w:lineRule="atLeast"/>
        <w:jc w:val="center"/>
      </w:pPr>
      <w:r>
        <w:rPr>
          <w:rFonts w:ascii="宋体" w:hAnsi="宋体" w:eastAsia="宋体" w:cs="宋体"/>
          <w:i w:val="0"/>
          <w:iCs w:val="0"/>
          <w:caps w:val="0"/>
          <w:color w:val="333333"/>
          <w:spacing w:val="0"/>
          <w:sz w:val="24"/>
          <w:szCs w:val="24"/>
          <w:shd w:val="clear" w:fill="F4F4F4"/>
        </w:rPr>
        <w:drawing>
          <wp:inline distT="0" distB="0" distL="114300" distR="114300">
            <wp:extent cx="5269865" cy="5882640"/>
            <wp:effectExtent l="0" t="0" r="6985" b="3810"/>
            <wp:docPr id="1" name="图片 1" descr="0876dadaf0202fa2b82efef8a390f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876dadaf0202fa2b82efef8a390f92.png"/>
                    <pic:cNvPicPr>
                      <a:picLocks noChangeAspect="1"/>
                    </pic:cNvPicPr>
                  </pic:nvPicPr>
                  <pic:blipFill>
                    <a:blip r:embed="rId4"/>
                    <a:stretch>
                      <a:fillRect/>
                    </a:stretch>
                  </pic:blipFill>
                  <pic:spPr>
                    <a:xfrm>
                      <a:off x="0" y="0"/>
                      <a:ext cx="5269865" cy="5882640"/>
                    </a:xfrm>
                    <a:prstGeom prst="rect">
                      <a:avLst/>
                    </a:prstGeom>
                    <a:noFill/>
                    <a:ln w="9525">
                      <a:noFill/>
                    </a:ln>
                  </pic:spPr>
                </pic:pic>
              </a:graphicData>
            </a:graphic>
          </wp:inline>
        </w:drawing>
      </w:r>
    </w:p>
    <w:p/>
    <w:p/>
    <w:p/>
    <w:p/>
    <w:p/>
    <w:p/>
    <w:p/>
    <w:p/>
    <w:p>
      <w:pPr>
        <w:jc w:val="center"/>
        <w:rPr>
          <w:b/>
          <w:bCs/>
          <w:sz w:val="44"/>
          <w:szCs w:val="44"/>
        </w:rPr>
      </w:pPr>
      <w:r>
        <w:rPr>
          <w:rFonts w:hint="eastAsia"/>
          <w:b/>
          <w:bCs/>
          <w:sz w:val="44"/>
          <w:szCs w:val="44"/>
          <w:lang w:val="en-US" w:eastAsia="zh-CN"/>
        </w:rPr>
        <w:t>市政设施类—城镇污水排入排水管网许可</w:t>
      </w:r>
    </w:p>
    <w:p>
      <w:pPr>
        <w:pStyle w:val="2"/>
        <w:keepNext w:val="0"/>
        <w:keepLines w:val="0"/>
        <w:widowControl/>
        <w:suppressLineNumbers w:val="0"/>
        <w:spacing w:line="375" w:lineRule="atLeast"/>
        <w:jc w:val="center"/>
      </w:pPr>
      <w:r>
        <w:rPr>
          <w:rFonts w:ascii="宋体" w:hAnsi="宋体" w:eastAsia="宋体" w:cs="宋体"/>
          <w:i w:val="0"/>
          <w:iCs w:val="0"/>
          <w:caps w:val="0"/>
          <w:color w:val="333333"/>
          <w:spacing w:val="0"/>
          <w:sz w:val="24"/>
          <w:szCs w:val="24"/>
          <w:shd w:val="clear" w:fill="F4F4F4"/>
        </w:rPr>
        <w:drawing>
          <wp:inline distT="0" distB="0" distL="114300" distR="114300">
            <wp:extent cx="5271135" cy="6054090"/>
            <wp:effectExtent l="0" t="0" r="5715" b="3810"/>
            <wp:docPr id="2" name="图片 2" descr="6e354181ca32823ba7bfded9d61561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e354181ca32823ba7bfded9d61561e.png"/>
                    <pic:cNvPicPr>
                      <a:picLocks noChangeAspect="1"/>
                    </pic:cNvPicPr>
                  </pic:nvPicPr>
                  <pic:blipFill>
                    <a:blip r:embed="rId5"/>
                    <a:stretch>
                      <a:fillRect/>
                    </a:stretch>
                  </pic:blipFill>
                  <pic:spPr>
                    <a:xfrm>
                      <a:off x="0" y="0"/>
                      <a:ext cx="5271135" cy="6054090"/>
                    </a:xfrm>
                    <a:prstGeom prst="rect">
                      <a:avLst/>
                    </a:prstGeom>
                    <a:noFill/>
                    <a:ln w="9525">
                      <a:noFill/>
                    </a:ln>
                  </pic:spPr>
                </pic:pic>
              </a:graphicData>
            </a:graphic>
          </wp:inline>
        </w:drawing>
      </w:r>
    </w:p>
    <w:p/>
    <w:p/>
    <w:p/>
    <w:sectPr>
      <w:pgSz w:w="11906" w:h="16838"/>
      <w:pgMar w:top="1701"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楷体_GB2312">
    <w:altName w:val="方正楷体_GBK"/>
    <w:panose1 w:val="02000000000000000000"/>
    <w:charset w:val="86"/>
    <w:family w:val="auto"/>
    <w:pitch w:val="default"/>
    <w:sig w:usb0="00000000" w:usb1="00000000" w:usb2="00000012" w:usb3="00000000" w:csb0="00040001"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BB16FA"/>
    <w:rsid w:val="2EBB16FA"/>
    <w:rsid w:val="77D50A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Emphasis"/>
    <w:basedOn w:val="4"/>
    <w:qFormat/>
    <w:uiPriority w:val="0"/>
    <w:rPr>
      <w:i/>
    </w:rPr>
  </w:style>
  <w:style w:type="character" w:styleId="7">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294</TotalTime>
  <ScaleCrop>false</ScaleCrop>
  <LinksUpToDate>false</LinksUpToDate>
  <CharactersWithSpaces>0</CharactersWithSpaces>
  <Application>WPS Office_11.8.2.1130_F1E327BC-269C-435d-A152-05C5408002CA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2025-10-30T16:30:00Z</dcterms:created>
  <dc:creator>摇光</dc:creator>
  <cp:lastModifiedBy>admin1</cp:lastModifiedBy>
  <cp:lastPrinted>2025-10-31T11:01:00Z</cp:lastPrinted>
  <dcterms:modified xsi:type="dcterms:W3CDTF">2025-11-03T16:02:31Z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ICV">
    <vt:lpwstr>97EAB3664595411D9E85B98F6F7850D7_11</vt:lpwstr>
  </property>
  <property fmtid="{D5CDD505-2E9C-101B-9397-08002B2CF9AE}" pid="4" name="KSOTemplateDocerSaveRecord">
    <vt:lpwstr>eyJoZGlkIjoiM2I2OWE0ZjA3YTA3YTAxNmIyZjAyMTA4YzViNmUxM2EiLCJ1c2VySWQiOiIxMTg1Mzc3MzE2In0=</vt:lpwstr>
  </property>
</Properties>
</file>