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FFE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ajorEastAsia"/>
          <w:b/>
          <w:sz w:val="44"/>
          <w:szCs w:val="44"/>
          <w:highlight w:val="none"/>
        </w:rPr>
      </w:pPr>
      <w:r>
        <w:rPr>
          <w:rFonts w:hint="default" w:ascii="Times New Roman" w:hAnsi="Times New Roman" w:cs="Times New Roman" w:eastAsiaTheme="majorEastAsia"/>
          <w:b/>
          <w:sz w:val="44"/>
          <w:szCs w:val="44"/>
          <w:highlight w:val="none"/>
        </w:rPr>
        <w:t>康平县202</w:t>
      </w:r>
      <w:r>
        <w:rPr>
          <w:rFonts w:hint="default" w:ascii="Times New Roman" w:hAnsi="Times New Roman" w:cs="Times New Roman" w:eastAsiaTheme="majorEastAsia"/>
          <w:b/>
          <w:sz w:val="44"/>
          <w:szCs w:val="44"/>
          <w:highlight w:val="none"/>
          <w:lang w:val="en-US" w:eastAsia="zh-CN"/>
        </w:rPr>
        <w:t>6</w:t>
      </w:r>
      <w:r>
        <w:rPr>
          <w:rFonts w:hint="default" w:ascii="Times New Roman" w:hAnsi="Times New Roman" w:cs="Times New Roman" w:eastAsiaTheme="majorEastAsia"/>
          <w:b/>
          <w:sz w:val="44"/>
          <w:szCs w:val="44"/>
          <w:highlight w:val="none"/>
        </w:rPr>
        <w:t>年度政府预算公开情况说明</w:t>
      </w:r>
    </w:p>
    <w:p w14:paraId="02E00156">
      <w:pPr>
        <w:keepNext w:val="0"/>
        <w:keepLines w:val="0"/>
        <w:pageBreakBefore w:val="0"/>
        <w:widowControl w:val="0"/>
        <w:kinsoku/>
        <w:wordWrap/>
        <w:overflowPunct/>
        <w:topLinePunct w:val="0"/>
        <w:autoSpaceDE/>
        <w:autoSpaceDN/>
        <w:bidi w:val="0"/>
        <w:adjustRightInd/>
        <w:snapToGrid/>
        <w:spacing w:line="560" w:lineRule="exact"/>
        <w:ind w:firstLine="201" w:firstLineChars="200"/>
        <w:textAlignment w:val="auto"/>
        <w:rPr>
          <w:rFonts w:hint="default" w:ascii="Times New Roman" w:hAnsi="Times New Roman" w:eastAsia="仿宋" w:cs="Times New Roman"/>
          <w:b/>
          <w:sz w:val="10"/>
          <w:szCs w:val="10"/>
          <w:highlight w:val="none"/>
        </w:rPr>
      </w:pPr>
    </w:p>
    <w:p w14:paraId="44B58B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一、转移支付情况</w:t>
      </w:r>
    </w:p>
    <w:p w14:paraId="2FB63D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康平县202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年一般公共预算转移支付收入</w:t>
      </w:r>
      <w:r>
        <w:rPr>
          <w:rFonts w:hint="default" w:ascii="Times New Roman" w:hAnsi="Times New Roman" w:eastAsia="仿宋_GB2312" w:cs="Times New Roman"/>
          <w:sz w:val="32"/>
          <w:szCs w:val="32"/>
          <w:highlight w:val="none"/>
          <w:lang w:val="en-US" w:eastAsia="zh-CN"/>
        </w:rPr>
        <w:t>为</w:t>
      </w:r>
      <w:r>
        <w:rPr>
          <w:rFonts w:hint="default" w:ascii="Times New Roman" w:hAnsi="Times New Roman" w:eastAsia="仿宋_GB2312" w:cs="Times New Roman"/>
          <w:sz w:val="32"/>
          <w:szCs w:val="32"/>
          <w:highlight w:val="none"/>
          <w:lang w:val="en-US" w:eastAsia="zh-CN"/>
        </w:rPr>
        <w:t>20.34</w:t>
      </w:r>
      <w:r>
        <w:rPr>
          <w:rFonts w:hint="default" w:ascii="Times New Roman" w:hAnsi="Times New Roman" w:eastAsia="仿宋_GB2312" w:cs="Times New Roman"/>
          <w:sz w:val="32"/>
          <w:szCs w:val="32"/>
          <w:highlight w:val="none"/>
        </w:rPr>
        <w:t>亿元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其中</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返还性收入0.7亿元；财力性转移支付收入</w:t>
      </w:r>
      <w:r>
        <w:rPr>
          <w:rFonts w:hint="default" w:ascii="Times New Roman" w:hAnsi="Times New Roman" w:eastAsia="仿宋_GB2312" w:cs="Times New Roman"/>
          <w:sz w:val="32"/>
          <w:szCs w:val="32"/>
          <w:highlight w:val="none"/>
          <w:lang w:val="en-US" w:eastAsia="zh-CN"/>
        </w:rPr>
        <w:t>9.75</w:t>
      </w:r>
      <w:r>
        <w:rPr>
          <w:rFonts w:hint="default" w:ascii="Times New Roman" w:hAnsi="Times New Roman" w:eastAsia="仿宋_GB2312" w:cs="Times New Roman"/>
          <w:sz w:val="32"/>
          <w:szCs w:val="32"/>
          <w:highlight w:val="none"/>
        </w:rPr>
        <w:t>亿元；专项性转移支付收入</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含共同事权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9.89</w:t>
      </w:r>
      <w:r>
        <w:rPr>
          <w:rFonts w:hint="default" w:ascii="Times New Roman" w:hAnsi="Times New Roman" w:eastAsia="仿宋_GB2312" w:cs="Times New Roman"/>
          <w:sz w:val="32"/>
          <w:szCs w:val="32"/>
          <w:highlight w:val="none"/>
        </w:rPr>
        <w:t>亿元。</w:t>
      </w:r>
    </w:p>
    <w:p w14:paraId="6CA2AC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康平县202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年政府</w:t>
      </w:r>
      <w:r>
        <w:rPr>
          <w:rFonts w:hint="default" w:ascii="Times New Roman" w:hAnsi="Times New Roman" w:eastAsia="仿宋_GB2312" w:cs="Times New Roman"/>
          <w:sz w:val="32"/>
          <w:szCs w:val="32"/>
          <w:highlight w:val="none"/>
          <w:lang w:val="en-US" w:eastAsia="zh-CN"/>
        </w:rPr>
        <w:t>性基金</w:t>
      </w:r>
      <w:r>
        <w:rPr>
          <w:rFonts w:hint="default" w:ascii="Times New Roman" w:hAnsi="Times New Roman" w:eastAsia="仿宋_GB2312" w:cs="Times New Roman"/>
          <w:sz w:val="32"/>
          <w:szCs w:val="32"/>
          <w:highlight w:val="none"/>
        </w:rPr>
        <w:t>预算转移支付</w:t>
      </w:r>
      <w:r>
        <w:rPr>
          <w:rFonts w:hint="default" w:ascii="Times New Roman" w:hAnsi="Times New Roman" w:eastAsia="仿宋_GB2312" w:cs="Times New Roman"/>
          <w:sz w:val="32"/>
          <w:szCs w:val="32"/>
          <w:highlight w:val="none"/>
          <w:lang w:val="en-US" w:eastAsia="zh-CN"/>
        </w:rPr>
        <w:t>收入为0.1</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亿</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w:t>
      </w:r>
    </w:p>
    <w:p w14:paraId="623A29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二、举借债务情况</w:t>
      </w:r>
    </w:p>
    <w:p w14:paraId="3443A2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康平县2025年地方政府债务预计余额36.40亿元。包括一般债务17.70亿元、专项债务21.70亿元。</w:t>
      </w:r>
    </w:p>
    <w:p w14:paraId="5B8CA4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2024年政府债务限额36.09亿元，其中</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一般债务限额18.08亿元，专项债务限额18.01亿元。2026年政府债务限额上级暂未下达。</w:t>
      </w:r>
    </w:p>
    <w:p w14:paraId="339A0C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三、一般公共预算“三公”经费预算安排情况</w:t>
      </w:r>
    </w:p>
    <w:p w14:paraId="286074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年一般公共预算“三公”经费预算安排</w:t>
      </w:r>
      <w:r>
        <w:rPr>
          <w:rFonts w:hint="default" w:ascii="Times New Roman" w:hAnsi="Times New Roman" w:eastAsia="仿宋_GB2312" w:cs="Times New Roman"/>
          <w:sz w:val="32"/>
          <w:szCs w:val="32"/>
          <w:highlight w:val="none"/>
          <w:lang w:val="en-US" w:eastAsia="zh-CN"/>
        </w:rPr>
        <w:t>1423</w:t>
      </w:r>
      <w:r>
        <w:rPr>
          <w:rFonts w:hint="default" w:ascii="Times New Roman" w:hAnsi="Times New Roman" w:eastAsia="仿宋_GB2312" w:cs="Times New Roman"/>
          <w:sz w:val="32"/>
          <w:szCs w:val="32"/>
          <w:highlight w:val="none"/>
        </w:rPr>
        <w:t>万元，其中：公务接待费</w:t>
      </w:r>
      <w:r>
        <w:rPr>
          <w:rFonts w:hint="default" w:ascii="Times New Roman" w:hAnsi="Times New Roman" w:eastAsia="仿宋_GB2312" w:cs="Times New Roman"/>
          <w:sz w:val="32"/>
          <w:szCs w:val="32"/>
          <w:highlight w:val="none"/>
          <w:lang w:val="en-US" w:eastAsia="zh-CN"/>
        </w:rPr>
        <w:t>105.8</w:t>
      </w:r>
      <w:r>
        <w:rPr>
          <w:rFonts w:hint="default" w:ascii="Times New Roman" w:hAnsi="Times New Roman" w:eastAsia="仿宋_GB2312" w:cs="Times New Roman"/>
          <w:sz w:val="32"/>
          <w:szCs w:val="32"/>
          <w:highlight w:val="none"/>
        </w:rPr>
        <w:t>万元，公务用车费</w:t>
      </w:r>
      <w:r>
        <w:rPr>
          <w:rFonts w:hint="default" w:ascii="Times New Roman" w:hAnsi="Times New Roman" w:eastAsia="仿宋_GB2312" w:cs="Times New Roman"/>
          <w:sz w:val="32"/>
          <w:szCs w:val="32"/>
          <w:highlight w:val="none"/>
          <w:lang w:val="en-US" w:eastAsia="zh-CN"/>
        </w:rPr>
        <w:t>1317.2</w:t>
      </w:r>
      <w:r>
        <w:rPr>
          <w:rFonts w:hint="default" w:ascii="Times New Roman" w:hAnsi="Times New Roman" w:eastAsia="仿宋_GB2312" w:cs="Times New Roman"/>
          <w:sz w:val="32"/>
          <w:szCs w:val="32"/>
          <w:highlight w:val="none"/>
        </w:rPr>
        <w:t>万元（其中</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公车购置</w:t>
      </w:r>
      <w:r>
        <w:rPr>
          <w:rFonts w:hint="default" w:ascii="Times New Roman" w:hAnsi="Times New Roman" w:eastAsia="仿宋_GB2312" w:cs="Times New Roman"/>
          <w:sz w:val="32"/>
          <w:szCs w:val="32"/>
          <w:highlight w:val="none"/>
          <w:lang w:val="en-US" w:eastAsia="zh-CN"/>
        </w:rPr>
        <w:t>300.8</w:t>
      </w:r>
      <w:r>
        <w:rPr>
          <w:rFonts w:hint="default"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rPr>
        <w:t>公务用车运行维护费</w:t>
      </w:r>
      <w:r>
        <w:rPr>
          <w:rFonts w:hint="default" w:ascii="Times New Roman" w:hAnsi="Times New Roman" w:eastAsia="仿宋_GB2312" w:cs="Times New Roman"/>
          <w:sz w:val="32"/>
          <w:szCs w:val="32"/>
          <w:highlight w:val="none"/>
          <w:lang w:val="en-US" w:eastAsia="zh-CN"/>
        </w:rPr>
        <w:t>1</w:t>
      </w:r>
      <w:bookmarkStart w:id="0" w:name="_GoBack"/>
      <w:bookmarkEnd w:id="0"/>
      <w:r>
        <w:rPr>
          <w:rFonts w:hint="default" w:ascii="Times New Roman" w:hAnsi="Times New Roman" w:eastAsia="仿宋_GB2312" w:cs="Times New Roman"/>
          <w:sz w:val="32"/>
          <w:szCs w:val="32"/>
          <w:highlight w:val="none"/>
          <w:lang w:val="en-US" w:eastAsia="zh-CN"/>
        </w:rPr>
        <w:t>016.4</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sz w:val="32"/>
          <w:szCs w:val="32"/>
          <w:highlight w:val="none"/>
          <w:lang w:eastAsia="zh-CN"/>
        </w:rPr>
        <w:t>，因公出国（境）费用</w:t>
      </w:r>
      <w:r>
        <w:rPr>
          <w:rFonts w:hint="default" w:ascii="Times New Roman" w:hAnsi="Times New Roman" w:eastAsia="仿宋_GB2312" w:cs="Times New Roman"/>
          <w:sz w:val="32"/>
          <w:szCs w:val="32"/>
          <w:highlight w:val="none"/>
          <w:lang w:val="en-US" w:eastAsia="zh-CN"/>
        </w:rPr>
        <w:t>0万元</w:t>
      </w:r>
      <w:r>
        <w:rPr>
          <w:rFonts w:hint="default" w:ascii="Times New Roman" w:hAnsi="Times New Roman" w:eastAsia="仿宋_GB2312" w:cs="Times New Roman"/>
          <w:sz w:val="32"/>
          <w:szCs w:val="32"/>
          <w:highlight w:val="none"/>
        </w:rPr>
        <w:t>。</w:t>
      </w:r>
    </w:p>
    <w:p w14:paraId="64AC84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年一般公共预算“三公”经费预算较202</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减少</w:t>
      </w:r>
      <w:r>
        <w:rPr>
          <w:rFonts w:hint="default" w:ascii="Times New Roman" w:hAnsi="Times New Roman" w:eastAsia="仿宋_GB2312" w:cs="Times New Roman"/>
          <w:sz w:val="32"/>
          <w:szCs w:val="32"/>
          <w:highlight w:val="none"/>
          <w:lang w:val="en-US" w:eastAsia="zh-CN"/>
        </w:rPr>
        <w:t>0.2</w:t>
      </w:r>
      <w:r>
        <w:rPr>
          <w:rFonts w:hint="default" w:ascii="Times New Roman" w:hAnsi="Times New Roman" w:eastAsia="仿宋_GB2312" w:cs="Times New Roman"/>
          <w:sz w:val="32"/>
          <w:szCs w:val="32"/>
          <w:highlight w:val="none"/>
        </w:rPr>
        <w:t>万元。</w:t>
      </w:r>
    </w:p>
    <w:p w14:paraId="5458D5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四、预算绩效工作开展情况</w:t>
      </w:r>
    </w:p>
    <w:p w14:paraId="77EE7A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康平县坚决落实《关于加快推进市县层面实施预算绩效管理的通知》（辽财绩〔2021〕24 号）和《沈阳市财政局关于印发沈阳市全面实施预算绩效管理三年行动方案（试行）的通知》（沈财绩〔2021〕598 号）文件要求，全面深化康平县预算绩效管理工作。</w:t>
      </w:r>
    </w:p>
    <w:p w14:paraId="1062BF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形成全方位预算绩效管理格局。财政部门负责本地区全面实施预算绩效管理的组织协调，制定预算绩效管理制度办法，健全组织机构，理顺工作机制，明确工作目标、工作方法和工作流程，加强业务指导培训，提高预算绩效管理人员和各部门各单位相关人员的业务素质和能力水平，树立预算绩效管理意识。</w:t>
      </w:r>
    </w:p>
    <w:p w14:paraId="72150A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加强预算绩效管理责任约束。各级政府和各部门各单位是预算绩效管理的责任主体。各级党委和政府主要负责同志对本地区预算绩效负责，部门和单位主要负责同志对本部门本单位预算绩效管理负责，项目责任人对项目预算绩效负责，对重大项目的责任人实行绩效终身责任追究制，做到花钱必问效、无效必问责。</w:t>
      </w:r>
    </w:p>
    <w:p w14:paraId="35A98B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健全全过程预算绩效管理链条。形成预算立项有评估、预算编制有目标、预算执行有监控、预算完成有评价、绩效结果有应用的全过程绩效管理。进行评价、反馈、整改、提升良性循环，推进绩效管理和预算管理深度融合，促进财政资源配置进一步优化。2025年共开展各部门本年度整体绩效监控124项、项目支出绩效监控1033项。开展各部门上年度整体绩效自评121项，项目支出绩效自评695项。将预算绩效结果作为下一年度预算安排的重要参考依据。</w:t>
      </w:r>
    </w:p>
    <w:p w14:paraId="29C472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4.完善全覆盖预算绩效管理体系。一是开展“四本预算”绩效管理全覆盖。二是将其他运转类项目纳入绩效监控体系，所有其他运转类项目和特定目标类项目全部设立绩效目标和绩效指标。三是开展事前绩效评估，将拟申请资金额 500 万元以上的新增特定目标类、其他运转类项目纳入事前绩效评估范围。</w:t>
      </w: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M4MWNiNTgxNjkyOTkyNDc1YThlN2MwOWM3OTVkZDEifQ=="/>
  </w:docVars>
  <w:rsids>
    <w:rsidRoot w:val="00154DE4"/>
    <w:rsid w:val="000825D3"/>
    <w:rsid w:val="0011237E"/>
    <w:rsid w:val="00154DE4"/>
    <w:rsid w:val="00181B5A"/>
    <w:rsid w:val="001C7050"/>
    <w:rsid w:val="002D35A8"/>
    <w:rsid w:val="002E4222"/>
    <w:rsid w:val="0032122E"/>
    <w:rsid w:val="003564E3"/>
    <w:rsid w:val="00396A0C"/>
    <w:rsid w:val="003A39CE"/>
    <w:rsid w:val="003A4F97"/>
    <w:rsid w:val="003F3D3F"/>
    <w:rsid w:val="003F7FC8"/>
    <w:rsid w:val="00454214"/>
    <w:rsid w:val="004B46D3"/>
    <w:rsid w:val="004D3A94"/>
    <w:rsid w:val="00531C6F"/>
    <w:rsid w:val="00685C20"/>
    <w:rsid w:val="007051CF"/>
    <w:rsid w:val="0078036B"/>
    <w:rsid w:val="0078518B"/>
    <w:rsid w:val="007B44C1"/>
    <w:rsid w:val="007C5C09"/>
    <w:rsid w:val="008353E4"/>
    <w:rsid w:val="008E0DE5"/>
    <w:rsid w:val="008E6D59"/>
    <w:rsid w:val="008F3253"/>
    <w:rsid w:val="00922621"/>
    <w:rsid w:val="00936F8C"/>
    <w:rsid w:val="009A1B03"/>
    <w:rsid w:val="00A002CF"/>
    <w:rsid w:val="00B03891"/>
    <w:rsid w:val="00BB317B"/>
    <w:rsid w:val="00C75722"/>
    <w:rsid w:val="00D97F93"/>
    <w:rsid w:val="00DC4AD5"/>
    <w:rsid w:val="00E375DF"/>
    <w:rsid w:val="00E6674C"/>
    <w:rsid w:val="00E85319"/>
    <w:rsid w:val="00E95A38"/>
    <w:rsid w:val="00EB5BD4"/>
    <w:rsid w:val="00F81ED6"/>
    <w:rsid w:val="00F90D01"/>
    <w:rsid w:val="00FC4CF6"/>
    <w:rsid w:val="04FE3F9A"/>
    <w:rsid w:val="07DE7604"/>
    <w:rsid w:val="0B9A2BAF"/>
    <w:rsid w:val="0D6347A1"/>
    <w:rsid w:val="10E12D80"/>
    <w:rsid w:val="15BC25A6"/>
    <w:rsid w:val="17D86F39"/>
    <w:rsid w:val="1B4C0296"/>
    <w:rsid w:val="29B7227F"/>
    <w:rsid w:val="2A605DEE"/>
    <w:rsid w:val="2B5B73FC"/>
    <w:rsid w:val="2D9253E1"/>
    <w:rsid w:val="30760F62"/>
    <w:rsid w:val="355C0AE3"/>
    <w:rsid w:val="38B30C88"/>
    <w:rsid w:val="3E0C5F62"/>
    <w:rsid w:val="42E14A28"/>
    <w:rsid w:val="439F1B83"/>
    <w:rsid w:val="46410547"/>
    <w:rsid w:val="49D42E91"/>
    <w:rsid w:val="4F16074D"/>
    <w:rsid w:val="524F2524"/>
    <w:rsid w:val="528D35CA"/>
    <w:rsid w:val="5BF26F88"/>
    <w:rsid w:val="5DD76917"/>
    <w:rsid w:val="5F530220"/>
    <w:rsid w:val="60C018E5"/>
    <w:rsid w:val="652C329F"/>
    <w:rsid w:val="6AA57CA1"/>
    <w:rsid w:val="6C25416F"/>
    <w:rsid w:val="6C30219C"/>
    <w:rsid w:val="794F0AC8"/>
    <w:rsid w:val="7BC62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1062</Words>
  <Characters>1175</Characters>
  <Lines>7</Lines>
  <Paragraphs>1</Paragraphs>
  <TotalTime>57</TotalTime>
  <ScaleCrop>false</ScaleCrop>
  <LinksUpToDate>false</LinksUpToDate>
  <CharactersWithSpaces>1179</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2017-10-25T08:14:00Z</dcterms:created>
  <dc:creator>cyb</dc:creator>
  <cp:lastModifiedBy>萌二先生</cp:lastModifiedBy>
  <dcterms:modified xsi:type="dcterms:W3CDTF">2026-01-13T01:45:13Z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A976F670D23344CAB2629E600A9E3D42</vt:lpwstr>
  </property>
  <property fmtid="{D5CDD505-2E9C-101B-9397-08002B2CF9AE}" pid="4" name="KSOTemplateDocerSaveRecord">
    <vt:lpwstr>eyJoZGlkIjoiOTc4ZTk5ODJjN2ZiMTk2OTljYzZlZmVhNzNjMTQ2NGEiLCJ1c2VySWQiOiI3NDExODYyODMifQ==</vt:lpwstr>
  </property>
</Properties>
</file>