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7FFE0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cs="Times New Roman" w:eastAsiaTheme="majorEastAsia"/>
          <w:b/>
          <w:sz w:val="44"/>
          <w:szCs w:val="44"/>
          <w:highlight w:val="none"/>
        </w:rPr>
      </w:pPr>
      <w:r>
        <w:rPr>
          <w:rFonts w:hint="default" w:ascii="Times New Roman" w:hAnsi="Times New Roman" w:cs="Times New Roman" w:eastAsiaTheme="majorEastAsia"/>
          <w:b/>
          <w:sz w:val="44"/>
          <w:szCs w:val="44"/>
          <w:highlight w:val="none"/>
        </w:rPr>
        <w:t>康平县202</w:t>
      </w:r>
      <w:r>
        <w:rPr>
          <w:rFonts w:hint="default" w:ascii="Times New Roman" w:hAnsi="Times New Roman" w:cs="Times New Roman" w:eastAsiaTheme="majorEastAsia"/>
          <w:b/>
          <w:sz w:val="44"/>
          <w:szCs w:val="44"/>
          <w:highlight w:val="none"/>
          <w:lang w:val="en-US" w:eastAsia="zh-CN"/>
        </w:rPr>
        <w:t>5</w:t>
      </w:r>
      <w:r>
        <w:rPr>
          <w:rFonts w:hint="default" w:ascii="Times New Roman" w:hAnsi="Times New Roman" w:cs="Times New Roman" w:eastAsiaTheme="majorEastAsia"/>
          <w:b/>
          <w:sz w:val="44"/>
          <w:szCs w:val="44"/>
          <w:highlight w:val="none"/>
        </w:rPr>
        <w:t>年度政府预算公开情况说明</w:t>
      </w:r>
    </w:p>
    <w:p w14:paraId="02E00156">
      <w:pPr>
        <w:keepNext w:val="0"/>
        <w:keepLines w:val="0"/>
        <w:pageBreakBefore w:val="0"/>
        <w:widowControl w:val="0"/>
        <w:kinsoku/>
        <w:wordWrap/>
        <w:overflowPunct/>
        <w:topLinePunct w:val="0"/>
        <w:autoSpaceDE/>
        <w:autoSpaceDN/>
        <w:bidi w:val="0"/>
        <w:adjustRightInd/>
        <w:snapToGrid/>
        <w:spacing w:line="560" w:lineRule="exact"/>
        <w:ind w:firstLine="201" w:firstLineChars="200"/>
        <w:textAlignment w:val="auto"/>
        <w:rPr>
          <w:rFonts w:hint="default" w:ascii="Times New Roman" w:hAnsi="Times New Roman" w:eastAsia="仿宋" w:cs="Times New Roman"/>
          <w:b/>
          <w:sz w:val="10"/>
          <w:szCs w:val="10"/>
          <w:highlight w:val="none"/>
        </w:rPr>
      </w:pPr>
    </w:p>
    <w:p w14:paraId="44B58B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一、转移支付情况</w:t>
      </w:r>
    </w:p>
    <w:p w14:paraId="2FB63D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康平县202</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年一般公共预算转移支付收入</w:t>
      </w:r>
      <w:r>
        <w:rPr>
          <w:rFonts w:hint="default" w:ascii="Times New Roman" w:hAnsi="Times New Roman" w:eastAsia="仿宋_GB2312" w:cs="Times New Roman"/>
          <w:sz w:val="32"/>
          <w:szCs w:val="32"/>
          <w:highlight w:val="none"/>
          <w:lang w:val="en-US" w:eastAsia="zh-CN"/>
        </w:rPr>
        <w:t>预计为</w:t>
      </w:r>
      <w:r>
        <w:rPr>
          <w:rFonts w:hint="default" w:ascii="Times New Roman" w:hAnsi="Times New Roman" w:eastAsia="仿宋_GB2312" w:cs="Times New Roman"/>
          <w:sz w:val="32"/>
          <w:szCs w:val="32"/>
          <w:highlight w:val="none"/>
        </w:rPr>
        <w:t>18.88亿元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其中</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返还性收入0.7亿元；财力性转移支付收入8.6亿元；专项性转移支付收入9.58亿元。</w:t>
      </w:r>
    </w:p>
    <w:p w14:paraId="6CA2AC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康平县202</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年政府</w:t>
      </w:r>
      <w:r>
        <w:rPr>
          <w:rFonts w:hint="default" w:ascii="Times New Roman" w:hAnsi="Times New Roman" w:eastAsia="仿宋_GB2312" w:cs="Times New Roman"/>
          <w:sz w:val="32"/>
          <w:szCs w:val="32"/>
          <w:highlight w:val="none"/>
          <w:lang w:val="en-US" w:eastAsia="zh-CN"/>
        </w:rPr>
        <w:t>性基金</w:t>
      </w:r>
      <w:r>
        <w:rPr>
          <w:rFonts w:hint="default" w:ascii="Times New Roman" w:hAnsi="Times New Roman" w:eastAsia="仿宋_GB2312" w:cs="Times New Roman"/>
          <w:sz w:val="32"/>
          <w:szCs w:val="32"/>
          <w:highlight w:val="none"/>
        </w:rPr>
        <w:t>预算转移支付</w:t>
      </w:r>
      <w:r>
        <w:rPr>
          <w:rFonts w:hint="default" w:ascii="Times New Roman" w:hAnsi="Times New Roman" w:eastAsia="仿宋_GB2312" w:cs="Times New Roman"/>
          <w:sz w:val="32"/>
          <w:szCs w:val="32"/>
          <w:highlight w:val="none"/>
          <w:lang w:val="en-US" w:eastAsia="zh-CN"/>
        </w:rPr>
        <w:t>收入为0.13亿</w:t>
      </w:r>
      <w:r>
        <w:rPr>
          <w:rFonts w:hint="default" w:ascii="Times New Roman" w:hAnsi="Times New Roman" w:eastAsia="仿宋_GB2312" w:cs="Times New Roman"/>
          <w:sz w:val="32"/>
          <w:szCs w:val="32"/>
          <w:highlight w:val="none"/>
        </w:rPr>
        <w:t>元</w:t>
      </w:r>
      <w:r>
        <w:rPr>
          <w:rFonts w:hint="default" w:ascii="Times New Roman" w:hAnsi="Times New Roman" w:eastAsia="仿宋_GB2312" w:cs="Times New Roman"/>
          <w:sz w:val="32"/>
          <w:szCs w:val="32"/>
          <w:highlight w:val="none"/>
          <w:lang w:eastAsia="zh-CN"/>
        </w:rPr>
        <w:t>。</w:t>
      </w:r>
    </w:p>
    <w:p w14:paraId="623A29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二、举借债务情况</w:t>
      </w:r>
    </w:p>
    <w:p w14:paraId="74F740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康平县2024年地方政府债务预计余额</w:t>
      </w:r>
      <w:r>
        <w:rPr>
          <w:rFonts w:hint="default" w:ascii="Times New Roman" w:hAnsi="Times New Roman" w:eastAsia="仿宋_GB2312" w:cs="Times New Roman"/>
          <w:sz w:val="32"/>
          <w:szCs w:val="32"/>
          <w:highlight w:val="none"/>
          <w:lang w:val="en-US" w:eastAsia="zh-CN"/>
        </w:rPr>
        <w:t>36.19亿</w:t>
      </w:r>
      <w:r>
        <w:rPr>
          <w:rFonts w:hint="default" w:ascii="Times New Roman" w:hAnsi="Times New Roman" w:eastAsia="仿宋_GB2312" w:cs="Times New Roman"/>
          <w:sz w:val="32"/>
          <w:szCs w:val="32"/>
          <w:highlight w:val="none"/>
        </w:rPr>
        <w:t>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其中</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一般债务</w:t>
      </w:r>
      <w:r>
        <w:rPr>
          <w:rFonts w:hint="default" w:ascii="Times New Roman" w:hAnsi="Times New Roman" w:eastAsia="仿宋_GB2312" w:cs="Times New Roman"/>
          <w:sz w:val="32"/>
          <w:szCs w:val="32"/>
          <w:highlight w:val="none"/>
          <w:lang w:val="en-US" w:eastAsia="zh-CN"/>
        </w:rPr>
        <w:t>18.17亿</w:t>
      </w:r>
      <w:r>
        <w:rPr>
          <w:rFonts w:hint="default" w:ascii="Times New Roman" w:hAnsi="Times New Roman" w:eastAsia="仿宋_GB2312" w:cs="Times New Roman"/>
          <w:sz w:val="32"/>
          <w:szCs w:val="32"/>
          <w:highlight w:val="none"/>
        </w:rPr>
        <w:t>元，专项债务</w:t>
      </w:r>
      <w:r>
        <w:rPr>
          <w:rFonts w:hint="default" w:ascii="Times New Roman" w:hAnsi="Times New Roman" w:eastAsia="仿宋_GB2312" w:cs="Times New Roman"/>
          <w:sz w:val="32"/>
          <w:szCs w:val="32"/>
          <w:highlight w:val="none"/>
          <w:lang w:val="en-US" w:eastAsia="zh-CN"/>
        </w:rPr>
        <w:t>18.02亿</w:t>
      </w:r>
      <w:r>
        <w:rPr>
          <w:rFonts w:hint="default" w:ascii="Times New Roman" w:hAnsi="Times New Roman" w:eastAsia="仿宋_GB2312" w:cs="Times New Roman"/>
          <w:sz w:val="32"/>
          <w:szCs w:val="32"/>
          <w:highlight w:val="none"/>
        </w:rPr>
        <w:t>元。</w:t>
      </w:r>
    </w:p>
    <w:p w14:paraId="5B8CA4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2023年政府债务限额21.82</w:t>
      </w:r>
      <w:r>
        <w:rPr>
          <w:rFonts w:hint="default" w:ascii="Times New Roman" w:hAnsi="Times New Roman" w:eastAsia="仿宋_GB2312" w:cs="Times New Roman"/>
          <w:sz w:val="32"/>
          <w:szCs w:val="32"/>
          <w:highlight w:val="none"/>
          <w:lang w:val="en-US" w:eastAsia="zh-CN"/>
        </w:rPr>
        <w:t>亿</w:t>
      </w:r>
      <w:r>
        <w:rPr>
          <w:rFonts w:hint="default" w:ascii="Times New Roman" w:hAnsi="Times New Roman" w:eastAsia="仿宋_GB2312" w:cs="Times New Roman"/>
          <w:sz w:val="32"/>
          <w:szCs w:val="32"/>
          <w:highlight w:val="none"/>
        </w:rPr>
        <w:t>元</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其中</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一般债务限额18.4</w:t>
      </w:r>
      <w:r>
        <w:rPr>
          <w:rFonts w:hint="default" w:ascii="Times New Roman" w:hAnsi="Times New Roman" w:eastAsia="仿宋_GB2312" w:cs="Times New Roman"/>
          <w:sz w:val="32"/>
          <w:szCs w:val="32"/>
          <w:highlight w:val="none"/>
          <w:lang w:val="en-US" w:eastAsia="zh-CN"/>
        </w:rPr>
        <w:t>亿</w:t>
      </w:r>
      <w:r>
        <w:rPr>
          <w:rFonts w:hint="default" w:ascii="Times New Roman" w:hAnsi="Times New Roman" w:eastAsia="仿宋_GB2312" w:cs="Times New Roman"/>
          <w:sz w:val="32"/>
          <w:szCs w:val="32"/>
          <w:highlight w:val="none"/>
        </w:rPr>
        <w:t>元，专项债务限额3.42</w:t>
      </w:r>
      <w:r>
        <w:rPr>
          <w:rFonts w:hint="default" w:ascii="Times New Roman" w:hAnsi="Times New Roman" w:eastAsia="仿宋_GB2312" w:cs="Times New Roman"/>
          <w:sz w:val="32"/>
          <w:szCs w:val="32"/>
          <w:highlight w:val="none"/>
          <w:lang w:val="en-US" w:eastAsia="zh-CN"/>
        </w:rPr>
        <w:t>亿</w:t>
      </w:r>
      <w:r>
        <w:rPr>
          <w:rFonts w:hint="default" w:ascii="Times New Roman" w:hAnsi="Times New Roman" w:eastAsia="仿宋_GB2312" w:cs="Times New Roman"/>
          <w:sz w:val="32"/>
          <w:szCs w:val="32"/>
          <w:highlight w:val="none"/>
        </w:rPr>
        <w:t>元。2024年政府债务限额上级暂未下达。</w:t>
      </w:r>
    </w:p>
    <w:p w14:paraId="339A0C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三、一般公共预算“三公”经费预算安排情况</w:t>
      </w:r>
    </w:p>
    <w:p w14:paraId="2860745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202</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年一般公共预算“三公”经费预算安排</w:t>
      </w:r>
      <w:r>
        <w:rPr>
          <w:rFonts w:hint="default" w:ascii="Times New Roman" w:hAnsi="Times New Roman" w:eastAsia="仿宋_GB2312" w:cs="Times New Roman"/>
          <w:sz w:val="32"/>
          <w:szCs w:val="32"/>
          <w:highlight w:val="none"/>
          <w:lang w:val="en-US" w:eastAsia="zh-CN"/>
        </w:rPr>
        <w:t>1423.2</w:t>
      </w:r>
      <w:r>
        <w:rPr>
          <w:rFonts w:hint="default" w:ascii="Times New Roman" w:hAnsi="Times New Roman" w:eastAsia="仿宋_GB2312" w:cs="Times New Roman"/>
          <w:sz w:val="32"/>
          <w:szCs w:val="32"/>
          <w:highlight w:val="none"/>
        </w:rPr>
        <w:t>万元，其中：公务接待费11</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万元，公务用车费</w:t>
      </w:r>
      <w:r>
        <w:rPr>
          <w:rFonts w:hint="default" w:ascii="Times New Roman" w:hAnsi="Times New Roman" w:eastAsia="仿宋_GB2312" w:cs="Times New Roman"/>
          <w:sz w:val="32"/>
          <w:szCs w:val="32"/>
          <w:highlight w:val="none"/>
          <w:lang w:val="en-US" w:eastAsia="zh-CN"/>
        </w:rPr>
        <w:t>1310</w:t>
      </w:r>
      <w:r>
        <w:rPr>
          <w:rFonts w:hint="default" w:ascii="Times New Roman" w:hAnsi="Times New Roman" w:eastAsia="仿宋_GB2312" w:cs="Times New Roman"/>
          <w:sz w:val="32"/>
          <w:szCs w:val="32"/>
          <w:highlight w:val="none"/>
        </w:rPr>
        <w:t>万元（其中</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公车购置225万元；</w:t>
      </w:r>
      <w:r>
        <w:rPr>
          <w:rFonts w:hint="default" w:ascii="Times New Roman" w:hAnsi="Times New Roman" w:eastAsia="仿宋_GB2312" w:cs="Times New Roman"/>
          <w:sz w:val="32"/>
          <w:szCs w:val="32"/>
          <w:highlight w:val="none"/>
        </w:rPr>
        <w:t>公务用车运行维护费10</w:t>
      </w:r>
      <w:r>
        <w:rPr>
          <w:rFonts w:hint="default" w:ascii="Times New Roman" w:hAnsi="Times New Roman" w:eastAsia="仿宋_GB2312" w:cs="Times New Roman"/>
          <w:sz w:val="32"/>
          <w:szCs w:val="32"/>
          <w:highlight w:val="none"/>
          <w:lang w:val="en-US" w:eastAsia="zh-CN"/>
        </w:rPr>
        <w:t>85</w:t>
      </w:r>
      <w:r>
        <w:rPr>
          <w:rFonts w:hint="default" w:ascii="Times New Roman" w:hAnsi="Times New Roman" w:eastAsia="仿宋_GB2312" w:cs="Times New Roman"/>
          <w:sz w:val="32"/>
          <w:szCs w:val="32"/>
          <w:highlight w:val="none"/>
        </w:rPr>
        <w:t>万元）</w:t>
      </w:r>
      <w:r>
        <w:rPr>
          <w:rFonts w:hint="default" w:ascii="Times New Roman" w:hAnsi="Times New Roman" w:eastAsia="仿宋_GB2312" w:cs="Times New Roman"/>
          <w:sz w:val="32"/>
          <w:szCs w:val="32"/>
          <w:highlight w:val="none"/>
          <w:lang w:eastAsia="zh-CN"/>
        </w:rPr>
        <w:t>，因公出国（境）费用</w:t>
      </w:r>
      <w:r>
        <w:rPr>
          <w:rFonts w:hint="default" w:ascii="Times New Roman" w:hAnsi="Times New Roman" w:eastAsia="仿宋_GB2312" w:cs="Times New Roman"/>
          <w:sz w:val="32"/>
          <w:szCs w:val="32"/>
          <w:highlight w:val="none"/>
          <w:lang w:val="en-US" w:eastAsia="zh-CN"/>
        </w:rPr>
        <w:t>0</w:t>
      </w:r>
      <w:r>
        <w:rPr>
          <w:rFonts w:hint="default" w:ascii="Times New Roman" w:hAnsi="Times New Roman" w:eastAsia="仿宋_GB2312" w:cs="Times New Roman"/>
          <w:sz w:val="32"/>
          <w:szCs w:val="32"/>
          <w:highlight w:val="none"/>
          <w:lang w:val="en-US" w:eastAsia="zh-CN"/>
        </w:rPr>
        <w:t>万元</w:t>
      </w:r>
      <w:r>
        <w:rPr>
          <w:rFonts w:hint="default" w:ascii="Times New Roman" w:hAnsi="Times New Roman" w:eastAsia="仿宋_GB2312" w:cs="Times New Roman"/>
          <w:sz w:val="32"/>
          <w:szCs w:val="32"/>
          <w:highlight w:val="none"/>
        </w:rPr>
        <w:t>。</w:t>
      </w:r>
      <w:bookmarkStart w:id="0" w:name="_GoBack"/>
      <w:bookmarkEnd w:id="0"/>
    </w:p>
    <w:p w14:paraId="64AC84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202</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年一般公共预算“三公”经费预算较202</w:t>
      </w: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减少</w:t>
      </w:r>
      <w:r>
        <w:rPr>
          <w:rFonts w:hint="default" w:ascii="Times New Roman" w:hAnsi="Times New Roman" w:eastAsia="仿宋_GB2312" w:cs="Times New Roman"/>
          <w:sz w:val="32"/>
          <w:szCs w:val="32"/>
          <w:highlight w:val="none"/>
          <w:lang w:val="en-US" w:eastAsia="zh-CN"/>
        </w:rPr>
        <w:t>0.45</w:t>
      </w:r>
      <w:r>
        <w:rPr>
          <w:rFonts w:hint="default" w:ascii="Times New Roman" w:hAnsi="Times New Roman" w:eastAsia="仿宋_GB2312" w:cs="Times New Roman"/>
          <w:sz w:val="32"/>
          <w:szCs w:val="32"/>
          <w:highlight w:val="none"/>
        </w:rPr>
        <w:t>万元。</w:t>
      </w:r>
    </w:p>
    <w:p w14:paraId="5458D5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四、预算绩效工作开展情况</w:t>
      </w:r>
    </w:p>
    <w:p w14:paraId="319CDF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2025年，为进一步提高财政资金使用科学性、效率性和效益性，建立规范的绩效评价体系，康平县将认真开展科学精准的预算绩效评价工作，并将取得一定的效果。</w:t>
      </w:r>
    </w:p>
    <w:p w14:paraId="6C0EEE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财政部门负责本地区全面实施预算绩效管理的组织协调，制定预算绩效管理制度办法，健全组织机构，理顺工作机制，明确工作目标、工作方法和工作流程，加强业务指导培训，提高预算绩效管理人员和各部门各单位相关人员的业务素质和能力水平，树立预算绩效管理意识。</w:t>
      </w:r>
    </w:p>
    <w:p w14:paraId="38D901F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加强预算绩效管理责任约束，各级政府和各部门各单位是预算绩效管理的责任主体。各级党委和政府主要负责同志对本地区预算绩效负责，部门和单位主要负责同志对本部门本单位预算绩效管理负责，项目责任人对项目预算绩效负责，对重大项目的责任人实行绩效终身责任追究制，做到花钱必问效、无效必问责。</w:t>
      </w:r>
    </w:p>
    <w:p w14:paraId="701E91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通过预算一体化系统下发部门预算绩效整体和项目自评、监控任务，实现绩效目标管理、绩效监控、绩效自评、绩效审核线上全覆盖。2024年共开展各部门本年度整体绩效监控121项、项目绩效监控751项。开展各部门上年度整体绩效自评117项，项目绩效自评324项，进行评价、反馈、整改、提升良性循环，推进绩效管理和预算管理深度融合，促进财政资源配置进一步优化。</w:t>
      </w:r>
    </w:p>
    <w:p w14:paraId="29C472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4.将预算绩效结果纳入政府绩效和干部政绩考核体系，作为领导干部选拔任用、公务员考核的重要参考，充分调动各地区各部门履职尽责和干事创业的积极性和主动性。各级财政部门负责对本级部门和预算单位、下级财政部门预算绩效管理工作情况进行考核。</w:t>
      </w: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GM4MWNiNTgxNjkyOTkyNDc1YThlN2MwOWM3OTVkZDEifQ=="/>
  </w:docVars>
  <w:rsids>
    <w:rsidRoot w:val="00154DE4"/>
    <w:rsid w:val="000825D3"/>
    <w:rsid w:val="0011237E"/>
    <w:rsid w:val="00154DE4"/>
    <w:rsid w:val="00181B5A"/>
    <w:rsid w:val="001C7050"/>
    <w:rsid w:val="002D35A8"/>
    <w:rsid w:val="002E4222"/>
    <w:rsid w:val="0032122E"/>
    <w:rsid w:val="003564E3"/>
    <w:rsid w:val="00396A0C"/>
    <w:rsid w:val="003A39CE"/>
    <w:rsid w:val="003A4F97"/>
    <w:rsid w:val="003F3D3F"/>
    <w:rsid w:val="003F7FC8"/>
    <w:rsid w:val="00454214"/>
    <w:rsid w:val="004B46D3"/>
    <w:rsid w:val="004D3A94"/>
    <w:rsid w:val="00531C6F"/>
    <w:rsid w:val="00685C20"/>
    <w:rsid w:val="007051CF"/>
    <w:rsid w:val="0078036B"/>
    <w:rsid w:val="0078518B"/>
    <w:rsid w:val="007B44C1"/>
    <w:rsid w:val="007C5C09"/>
    <w:rsid w:val="008353E4"/>
    <w:rsid w:val="008E0DE5"/>
    <w:rsid w:val="008E6D59"/>
    <w:rsid w:val="008F3253"/>
    <w:rsid w:val="00922621"/>
    <w:rsid w:val="00936F8C"/>
    <w:rsid w:val="009A1B03"/>
    <w:rsid w:val="00A002CF"/>
    <w:rsid w:val="00B03891"/>
    <w:rsid w:val="00BB317B"/>
    <w:rsid w:val="00C75722"/>
    <w:rsid w:val="00D97F93"/>
    <w:rsid w:val="00DC4AD5"/>
    <w:rsid w:val="00E375DF"/>
    <w:rsid w:val="00E6674C"/>
    <w:rsid w:val="00E85319"/>
    <w:rsid w:val="00E95A38"/>
    <w:rsid w:val="00EB5BD4"/>
    <w:rsid w:val="00F81ED6"/>
    <w:rsid w:val="00F90D01"/>
    <w:rsid w:val="00FC4CF6"/>
    <w:rsid w:val="04FE3F9A"/>
    <w:rsid w:val="07DE7604"/>
    <w:rsid w:val="0B9A2BAF"/>
    <w:rsid w:val="0D6347A1"/>
    <w:rsid w:val="10E12D80"/>
    <w:rsid w:val="1B4C0296"/>
    <w:rsid w:val="29B7227F"/>
    <w:rsid w:val="2A605DEE"/>
    <w:rsid w:val="2B5B73FC"/>
    <w:rsid w:val="30760F62"/>
    <w:rsid w:val="355C0AE3"/>
    <w:rsid w:val="3E0C5F62"/>
    <w:rsid w:val="439F1B83"/>
    <w:rsid w:val="46410547"/>
    <w:rsid w:val="49D42E91"/>
    <w:rsid w:val="4F16074D"/>
    <w:rsid w:val="524F2524"/>
    <w:rsid w:val="5DD76917"/>
    <w:rsid w:val="5F530220"/>
    <w:rsid w:val="60C018E5"/>
    <w:rsid w:val="6AA57CA1"/>
    <w:rsid w:val="6C25416F"/>
    <w:rsid w:val="6C30219C"/>
    <w:rsid w:val="794F0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951</Words>
  <Characters>1052</Characters>
  <Lines>7</Lines>
  <Paragraphs>1</Paragraphs>
  <TotalTime>37</TotalTime>
  <ScaleCrop>false</ScaleCrop>
  <LinksUpToDate>false</LinksUpToDate>
  <CharactersWithSpaces>1052</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2017-10-25T08:14:00Z</dcterms:created>
  <dc:creator>cyb</dc:creator>
  <cp:lastModifiedBy>萌二先生</cp:lastModifiedBy>
  <dcterms:modified xsi:type="dcterms:W3CDTF">2024-12-20T03:18:11Z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A976F670D23344CAB2629E600A9E3D42</vt:lpwstr>
  </property>
</Properties>
</file>