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jc w:val="center"/>
        <w:rPr>
          <w:rFonts w:ascii="宋体" w:hAnsi="宋体"/>
          <w:b/>
          <w:sz w:val="52"/>
          <w:szCs w:val="52"/>
        </w:rPr>
      </w:pPr>
      <w:r>
        <w:rPr>
          <w:rFonts w:hint="eastAsia" w:ascii="宋体" w:hAnsi="宋体"/>
          <w:b/>
          <w:sz w:val="52"/>
          <w:szCs w:val="52"/>
        </w:rPr>
        <w:t>康平县小城子中心卫生院2019年度部门决算</w:t>
      </w: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r>
        <w:rPr>
          <w:rFonts w:hint="eastAsia"/>
          <w:b/>
          <w:sz w:val="44"/>
          <w:szCs w:val="44"/>
        </w:rPr>
        <w:t>目    录</w:t>
      </w: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ascii="黑体" w:hAnsi="黑体" w:eastAsia="黑体"/>
          <w:sz w:val="32"/>
          <w:szCs w:val="32"/>
        </w:rPr>
      </w:pPr>
      <w:r>
        <w:rPr>
          <w:rFonts w:hint="eastAsia" w:ascii="黑体" w:hAnsi="黑体" w:eastAsia="黑体"/>
          <w:sz w:val="32"/>
          <w:szCs w:val="32"/>
        </w:rPr>
        <w:t>第一部分    康平县小城子中心卫生院概况</w:t>
      </w:r>
    </w:p>
    <w:p>
      <w:pPr>
        <w:numPr>
          <w:ilvl w:val="0"/>
          <w:numId w:val="1"/>
        </w:numPr>
        <w:spacing w:line="540" w:lineRule="exact"/>
        <w:rPr>
          <w:rFonts w:ascii="仿宋_GB2312" w:hAnsi="黑体" w:eastAsia="仿宋_GB2312"/>
          <w:sz w:val="32"/>
          <w:szCs w:val="32"/>
        </w:rPr>
      </w:pPr>
      <w:r>
        <w:rPr>
          <w:rFonts w:hint="eastAsia" w:ascii="仿宋_GB2312" w:hAnsi="黑体" w:eastAsia="仿宋_GB2312"/>
          <w:sz w:val="32"/>
          <w:szCs w:val="32"/>
        </w:rPr>
        <w:t>主要职责</w:t>
      </w:r>
    </w:p>
    <w:p>
      <w:pPr>
        <w:numPr>
          <w:ilvl w:val="0"/>
          <w:numId w:val="1"/>
        </w:numPr>
        <w:spacing w:line="540" w:lineRule="exact"/>
        <w:rPr>
          <w:rFonts w:ascii="仿宋_GB2312" w:hAnsi="黑体" w:eastAsia="仿宋_GB2312"/>
          <w:sz w:val="32"/>
          <w:szCs w:val="32"/>
        </w:rPr>
      </w:pPr>
      <w:r>
        <w:rPr>
          <w:rFonts w:hint="eastAsia" w:ascii="仿宋_GB2312" w:hAnsi="黑体" w:eastAsia="仿宋_GB2312"/>
          <w:sz w:val="32"/>
          <w:szCs w:val="32"/>
        </w:rPr>
        <w:t>机构设置</w:t>
      </w:r>
    </w:p>
    <w:p>
      <w:pPr>
        <w:spacing w:line="540" w:lineRule="exact"/>
        <w:rPr>
          <w:rFonts w:ascii="黑体" w:hAnsi="黑体" w:eastAsia="黑体"/>
          <w:sz w:val="32"/>
          <w:szCs w:val="32"/>
        </w:rPr>
      </w:pPr>
      <w:r>
        <w:rPr>
          <w:rFonts w:hint="eastAsia" w:ascii="黑体" w:hAnsi="黑体" w:eastAsia="黑体"/>
          <w:sz w:val="32"/>
          <w:szCs w:val="32"/>
        </w:rPr>
        <w:t>第二部分   康平县小城子中心卫生院2019年度部门决算报表</w:t>
      </w:r>
    </w:p>
    <w:p>
      <w:pPr>
        <w:spacing w:line="540" w:lineRule="exact"/>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2019年度收入支出决算总表</w:t>
      </w:r>
    </w:p>
    <w:p>
      <w:pPr>
        <w:spacing w:line="540" w:lineRule="exact"/>
        <w:rPr>
          <w:rFonts w:hint="eastAsia" w:ascii="仿宋_GB2312" w:eastAsia="仿宋_GB2312"/>
          <w:sz w:val="32"/>
          <w:szCs w:val="32"/>
        </w:rPr>
      </w:pPr>
      <w:r>
        <w:rPr>
          <w:rFonts w:hint="eastAsia" w:ascii="仿宋_GB2312" w:eastAsia="仿宋_GB2312"/>
          <w:sz w:val="32"/>
          <w:szCs w:val="32"/>
        </w:rPr>
        <w:t>二、2019</w:t>
      </w:r>
      <w:r>
        <w:rPr>
          <w:rFonts w:hint="eastAsia" w:ascii="仿宋_GB2312" w:hAnsi="仿宋" w:eastAsia="仿宋_GB2312"/>
          <w:sz w:val="32"/>
          <w:szCs w:val="32"/>
        </w:rPr>
        <w:t>年度</w:t>
      </w:r>
      <w:r>
        <w:rPr>
          <w:rFonts w:hint="eastAsia" w:ascii="仿宋_GB2312" w:eastAsia="仿宋_GB2312"/>
          <w:sz w:val="32"/>
          <w:szCs w:val="32"/>
        </w:rPr>
        <w:t>收入决算表</w:t>
      </w:r>
    </w:p>
    <w:p>
      <w:pPr>
        <w:spacing w:line="540" w:lineRule="exact"/>
        <w:rPr>
          <w:rFonts w:hint="eastAsia" w:ascii="仿宋_GB2312" w:eastAsia="仿宋_GB2312"/>
          <w:sz w:val="32"/>
          <w:szCs w:val="32"/>
        </w:rPr>
      </w:pPr>
      <w:r>
        <w:rPr>
          <w:rFonts w:hint="eastAsia" w:ascii="仿宋_GB2312" w:eastAsia="仿宋_GB2312"/>
          <w:sz w:val="32"/>
          <w:szCs w:val="32"/>
        </w:rPr>
        <w:t>三、2019</w:t>
      </w:r>
      <w:r>
        <w:rPr>
          <w:rFonts w:hint="eastAsia" w:ascii="仿宋_GB2312" w:hAnsi="仿宋" w:eastAsia="仿宋_GB2312"/>
          <w:sz w:val="32"/>
          <w:szCs w:val="32"/>
        </w:rPr>
        <w:t>年度</w:t>
      </w:r>
      <w:r>
        <w:rPr>
          <w:rFonts w:hint="eastAsia" w:ascii="仿宋_GB2312" w:eastAsia="仿宋_GB2312"/>
          <w:sz w:val="32"/>
          <w:szCs w:val="32"/>
        </w:rPr>
        <w:t>支出决算表</w:t>
      </w:r>
    </w:p>
    <w:p>
      <w:pPr>
        <w:spacing w:line="540" w:lineRule="exact"/>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2019年度财政拨款收入支出决算表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五、</w:t>
      </w:r>
      <w:r>
        <w:rPr>
          <w:rFonts w:ascii="仿宋_GB2312" w:eastAsia="仿宋_GB2312"/>
          <w:sz w:val="32"/>
          <w:szCs w:val="32"/>
        </w:rPr>
        <w:t>2019年度</w:t>
      </w:r>
      <w:r>
        <w:rPr>
          <w:rFonts w:hint="eastAsia" w:ascii="仿宋_GB2312" w:eastAsia="仿宋_GB2312"/>
          <w:sz w:val="32"/>
          <w:szCs w:val="32"/>
        </w:rPr>
        <w:t>一般公共预算</w:t>
      </w:r>
      <w:r>
        <w:rPr>
          <w:rFonts w:ascii="仿宋_GB2312" w:eastAsia="仿宋_GB2312"/>
          <w:sz w:val="32"/>
          <w:szCs w:val="32"/>
        </w:rPr>
        <w:t>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六、</w:t>
      </w:r>
      <w:r>
        <w:rPr>
          <w:rFonts w:ascii="仿宋_GB2312" w:eastAsia="仿宋_GB2312"/>
          <w:sz w:val="32"/>
          <w:szCs w:val="32"/>
        </w:rPr>
        <w:t>2019年度</w:t>
      </w:r>
      <w:r>
        <w:rPr>
          <w:rFonts w:hint="eastAsia" w:ascii="仿宋_GB2312" w:eastAsia="仿宋_GB2312"/>
          <w:sz w:val="32"/>
          <w:szCs w:val="32"/>
        </w:rPr>
        <w:t>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rPr>
          <w:rFonts w:hint="eastAsia"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2019年度政府性基金预算财政拨款收入支出决算表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八、</w:t>
      </w:r>
      <w:r>
        <w:rPr>
          <w:rFonts w:ascii="仿宋_GB2312" w:eastAsia="仿宋_GB2312"/>
          <w:sz w:val="32"/>
          <w:szCs w:val="32"/>
        </w:rPr>
        <w:t>2019</w:t>
      </w:r>
      <w:r>
        <w:rPr>
          <w:rFonts w:hint="eastAsia" w:ascii="仿宋_GB2312" w:hAnsi="仿宋" w:eastAsia="仿宋_GB2312"/>
          <w:sz w:val="32"/>
          <w:szCs w:val="32"/>
        </w:rPr>
        <w:t>年度</w:t>
      </w:r>
      <w:r>
        <w:rPr>
          <w:rFonts w:hint="eastAsia" w:ascii="仿宋_GB2312" w:eastAsia="仿宋_GB2312"/>
          <w:sz w:val="32"/>
          <w:szCs w:val="32"/>
        </w:rPr>
        <w:t>一般公共预算财政拨款“三公”经费支出决算表</w:t>
      </w:r>
    </w:p>
    <w:p>
      <w:pPr>
        <w:spacing w:line="540" w:lineRule="exact"/>
        <w:rPr>
          <w:rFonts w:ascii="黑体" w:hAnsi="黑体" w:eastAsia="黑体"/>
          <w:sz w:val="32"/>
          <w:szCs w:val="32"/>
        </w:rPr>
      </w:pPr>
      <w:r>
        <w:rPr>
          <w:rFonts w:hint="eastAsia" w:ascii="黑体" w:hAnsi="黑体" w:eastAsia="黑体"/>
          <w:sz w:val="32"/>
          <w:szCs w:val="32"/>
        </w:rPr>
        <w:t>第三部分    康平县小城子中心卫生院2019年度部门决算情况说明</w:t>
      </w:r>
    </w:p>
    <w:p>
      <w:pPr>
        <w:spacing w:line="540" w:lineRule="exact"/>
        <w:rPr>
          <w:rFonts w:ascii="黑体" w:hAnsi="黑体" w:eastAsia="黑体"/>
          <w:sz w:val="32"/>
          <w:szCs w:val="32"/>
        </w:rPr>
      </w:pPr>
      <w:r>
        <w:rPr>
          <w:rFonts w:hint="eastAsia" w:ascii="黑体" w:hAnsi="黑体" w:eastAsia="黑体"/>
          <w:sz w:val="32"/>
          <w:szCs w:val="32"/>
        </w:rPr>
        <w:t>第四部分    名词解释</w:t>
      </w:r>
    </w:p>
    <w:p>
      <w:pPr>
        <w:spacing w:line="540" w:lineRule="exact"/>
        <w:jc w:val="center"/>
        <w:rPr>
          <w:rFonts w:ascii="黑体" w:hAnsi="黑体" w:eastAsia="黑体"/>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ascii="黑体" w:eastAsia="黑体"/>
          <w:sz w:val="32"/>
          <w:szCs w:val="32"/>
        </w:rPr>
      </w:pPr>
    </w:p>
    <w:p>
      <w:pPr>
        <w:spacing w:line="540" w:lineRule="exact"/>
        <w:jc w:val="center"/>
        <w:rPr>
          <w:rFonts w:hint="eastAsia" w:ascii="黑体" w:eastAsia="黑体"/>
          <w:sz w:val="32"/>
          <w:szCs w:val="32"/>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r>
        <w:rPr>
          <w:rFonts w:hint="eastAsia" w:ascii="宋体" w:hAnsi="宋体"/>
          <w:b/>
          <w:sz w:val="36"/>
          <w:szCs w:val="36"/>
        </w:rPr>
        <w:t xml:space="preserve">第一部分 </w:t>
      </w:r>
      <w:r>
        <w:rPr>
          <w:rFonts w:hint="eastAsia" w:ascii="宋体" w:hAnsi="宋体" w:cs="宋体"/>
          <w:b/>
          <w:bCs/>
          <w:sz w:val="36"/>
          <w:szCs w:val="36"/>
        </w:rPr>
        <w:t>康平县小城子中心卫生院</w:t>
      </w:r>
      <w:r>
        <w:rPr>
          <w:rFonts w:hint="eastAsia" w:ascii="宋体" w:hAnsi="宋体"/>
          <w:b/>
          <w:sz w:val="36"/>
          <w:szCs w:val="36"/>
        </w:rPr>
        <w:t>概况</w:t>
      </w:r>
    </w:p>
    <w:p>
      <w:pPr>
        <w:spacing w:line="540" w:lineRule="exact"/>
        <w:ind w:firstLine="640" w:firstLineChars="200"/>
        <w:jc w:val="left"/>
        <w:rPr>
          <w:rFonts w:hint="eastAsia" w:ascii="黑体" w:eastAsia="黑体"/>
          <w:sz w:val="32"/>
          <w:szCs w:val="32"/>
        </w:rPr>
      </w:pPr>
    </w:p>
    <w:p>
      <w:pPr>
        <w:spacing w:line="540" w:lineRule="exact"/>
        <w:ind w:firstLine="640" w:firstLineChars="200"/>
        <w:jc w:val="left"/>
        <w:rPr>
          <w:rFonts w:hint="eastAsia" w:ascii="黑体" w:eastAsia="黑体"/>
          <w:sz w:val="32"/>
          <w:szCs w:val="32"/>
        </w:rPr>
      </w:pPr>
      <w:r>
        <w:rPr>
          <w:rFonts w:hint="eastAsia" w:ascii="黑体" w:eastAsia="黑体"/>
          <w:sz w:val="32"/>
          <w:szCs w:val="32"/>
        </w:rPr>
        <w:t>一、主要职责</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康平县小城子中心卫生院贯彻落实党中央关于卫生健康工作的方针政策和决策部署及县委有关要求，在履行职责过程中坚持和加强党对民政工作的集中统一领导。主要职责是:</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 贯彻执行国家和省、市关于卫生和计划生育的相关规划、政策措施并监督实施；参与医药卫生体制改革；负责协调推进本辖区医疗保障，统筹规划本辖区卫生和计划生育服务资源配置。负责本辖区卫生和计划生育统计与信息工作。</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负责疾病预防控制工作，协调有关部门对重大疾病实施综合防控与干预，组织和指导本辖区突发公共卫生事件预防控制和各类突发公共事件的医疗卫生救援，依法报告和发布传染病疫情信息、突发公共卫生事件应急处置信息。</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（三）负责监督实施职责范围内的职业卫生、放射卫生、环境卫生、学校卫生、公共场所卫生、饮用水卫生管理规范和标准，制定相关政策措施，组织开展相关监测、调查、评估和监督，负责传染病防治监督。</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负责组织拟订并实施本辖区基层卫生和计划生育服务、妇幼卫生发展规划和政策措施，指导基层卫生和计划生育、妇幼卫生服务体系建设，推进基本公共卫生和计划生育服务均等化，完善基层运行新机制和乡村医生管理制度。</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（五）贯彻落实医疗机构和医疗服务全行业管理办法并监督实施，组织实施卫生专业技术人员执业规则和服务规范，建立医疗机构医疗服务评价和监督管理体系。</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（六）负责组织推进本辖区公立医院改革，建立公益性为导向的绩效考核和评价运行机制，建设和谐医患关系，提出基本医疗服务价格政策的建议。</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（七）组织实施国家药物政策、国家基本药物制度、国家基本药物目录及辽宁省药品增补目录，执行国家、省、市基本药物采购、配送、使用的管理制度，拟订本辖区有关政策措施。</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（八）贯彻落实国家、省生育政策。</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（九）组织推进计划生育利益导向和促进计划生育家庭</w:t>
      </w:r>
      <w:r>
        <w:rPr>
          <w:rFonts w:hint="eastAsia" w:ascii="仿宋_GB2312" w:hAnsi="仿宋_GB2312" w:eastAsia="仿宋_GB2312" w:cs="仿宋_GB2312"/>
          <w:sz w:val="32"/>
          <w:szCs w:val="32"/>
          <w:lang w:eastAsia="zh-CN"/>
        </w:rPr>
        <w:t>发</w:t>
      </w:r>
      <w:bookmarkStart w:id="0" w:name="_GoBack"/>
      <w:bookmarkEnd w:id="0"/>
      <w:r>
        <w:rPr>
          <w:rFonts w:hint="eastAsia" w:ascii="仿宋_GB2312" w:hAnsi="仿宋_GB2312" w:eastAsia="仿宋_GB2312" w:cs="仿宋_GB2312"/>
          <w:sz w:val="32"/>
          <w:szCs w:val="32"/>
        </w:rPr>
        <w:t>展机制，组织实施国家、省、市、县计划生育奖励扶助、计划生育特殊困难家庭扶助等制度。</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（十）制定流动人口计划生育服务管理制度并组织落实，推动建立流动人口卫生和计划生育信息共享和公共服务工作机制。</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（十一）组织拟订本辖区卫生和计划生育人才发展规划，指导卫生和计划生育人才队伍建设，建立完善住院医师和专科医师规范化培训制度并组织实施。</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（十二）组织拟订本辖区卫生和计划生育科技发展规划，组织开展毕业后医学教育和继续医学教育工作。</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（十三）指导本辖区卫生和计划生育工作，完善综合监督执法体系，规范执法行为，监督检查法律法规和政策措施的落实，组织查处重大违法行为。监督落实计划生育目标管理责任制和计划生育一票否决制。</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（十四）负责卫生和计划生育宣传、健康教育、健康促进和信息化建设等工作，依法组织实施统计调查，参与本辖区人口基础信息库建设。</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（十五）拟订本辖区保健工作规划、政策并组织实施；承担重要会议和重大活动的医疗卫生保障工作。</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（十六）承办县卫生健康局的其他事项。</w:t>
      </w:r>
    </w:p>
    <w:p>
      <w:pPr>
        <w:spacing w:line="540" w:lineRule="exact"/>
        <w:ind w:firstLine="800" w:firstLineChars="250"/>
        <w:jc w:val="left"/>
        <w:rPr>
          <w:rFonts w:hint="eastAsia" w:ascii="黑体" w:eastAsia="黑体"/>
          <w:sz w:val="32"/>
          <w:szCs w:val="32"/>
        </w:rPr>
      </w:pPr>
      <w:r>
        <w:rPr>
          <w:rFonts w:hint="eastAsia" w:ascii="黑体" w:eastAsia="黑体"/>
          <w:sz w:val="32"/>
          <w:szCs w:val="32"/>
        </w:rPr>
        <w:t>二、机构设置</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（一）办公室。</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负责组织协调院内各科室日常工作，协助院领导组织开展综合性调研。</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（二）财会科。</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负责制定全院卫生事业发展的经济政策和卫生财会规章制度；会同有关部门监督管理医疗卫生服务价格；管理本单位会计事务。</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（三）防疫科。</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负责制定全院疾病控制工作的防治规划和工作规范；负责疾病控制、卫生监督工作；负责全院公共卫生工作及村卫生室的监督管理工作；负责公共卫生服务项目等工作。</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（四）安全生产科</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负责全院安全生产管理工作，落实上级有关部门关于安全生产工作的有关决定、部署情况。</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（五）诊疗科</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全县不符合法定条件多生育子女的案件处罚、立案及社会抚养费征收；计划生育特别扶助人员的认定及特别扶助金发放；独生子女父母退休补助费人员认定；符合再生育条件进行指标特指的人员认定及手续办理。</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（六）流动人口管理科</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负责辖区内流动人口统计、公共卫生管理、流动人口计划生育管理工作。</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（七）检验科。</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负责全院各科室及公共卫生的相关检验工作。</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（八）基本药品管理科</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负责处理院内药品采购管理；负责基层医疗机构药品统一采购和管理工作；药局日常事务，村卫生室基本药品采购和发放工作。</w:t>
      </w:r>
    </w:p>
    <w:p>
      <w:pPr>
        <w:spacing w:line="540" w:lineRule="exact"/>
        <w:ind w:firstLine="640" w:firstLineChars="200"/>
        <w:jc w:val="left"/>
        <w:rPr>
          <w:rFonts w:hint="eastAsia" w:ascii="仿宋_GB2312" w:hAnsi="仿宋_GB2312" w:eastAsia="仿宋_GB2312" w:cs="仿宋_GB2312"/>
          <w:sz w:val="32"/>
          <w:szCs w:val="32"/>
        </w:rPr>
      </w:pPr>
    </w:p>
    <w:p>
      <w:pPr>
        <w:spacing w:line="540" w:lineRule="exact"/>
        <w:ind w:firstLine="640" w:firstLineChars="200"/>
        <w:jc w:val="left"/>
        <w:rPr>
          <w:rFonts w:ascii="仿宋_GB2312" w:hAnsi="仿宋_GB2312" w:eastAsia="仿宋_GB2312" w:cs="仿宋_GB2312"/>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numPr>
          <w:ilvl w:val="0"/>
          <w:numId w:val="2"/>
        </w:numPr>
        <w:spacing w:line="540" w:lineRule="exact"/>
        <w:ind w:firstLine="722" w:firstLineChars="200"/>
        <w:jc w:val="center"/>
        <w:rPr>
          <w:rFonts w:ascii="宋体" w:hAnsi="宋体"/>
          <w:b/>
          <w:sz w:val="36"/>
          <w:szCs w:val="36"/>
        </w:rPr>
      </w:pPr>
      <w:r>
        <w:rPr>
          <w:rFonts w:hint="eastAsia" w:ascii="宋体" w:hAnsi="宋体"/>
          <w:b/>
          <w:sz w:val="36"/>
          <w:szCs w:val="36"/>
        </w:rPr>
        <w:t>康平县小城子中心卫生院2019年度部门决算情况说明</w:t>
      </w:r>
    </w:p>
    <w:p>
      <w:pPr>
        <w:spacing w:line="540" w:lineRule="exact"/>
        <w:rPr>
          <w:rFonts w:ascii="宋体" w:hAnsi="宋体"/>
          <w:b/>
          <w:sz w:val="36"/>
          <w:szCs w:val="36"/>
        </w:rPr>
      </w:pPr>
    </w:p>
    <w:p>
      <w:pPr>
        <w:spacing w:line="540" w:lineRule="exact"/>
        <w:ind w:firstLine="627" w:firstLineChars="196"/>
        <w:rPr>
          <w:rFonts w:ascii="黑体" w:hAnsi="黑体" w:eastAsia="黑体"/>
          <w:sz w:val="32"/>
          <w:szCs w:val="32"/>
        </w:rPr>
      </w:pPr>
      <w:r>
        <w:rPr>
          <w:rFonts w:hint="eastAsia" w:ascii="黑体" w:hAnsi="黑体" w:eastAsia="黑体"/>
          <w:sz w:val="32"/>
          <w:szCs w:val="32"/>
        </w:rPr>
        <w:t>一、收入支出决算总体情况</w:t>
      </w:r>
    </w:p>
    <w:p>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（一）收入总计291.6万元，包括：</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1.财政拨款收入117万元，占</w:t>
      </w:r>
      <w:r>
        <w:rPr>
          <w:rFonts w:ascii="仿宋_GB2312" w:hAnsi="宋体" w:eastAsia="仿宋_GB2312"/>
          <w:sz w:val="32"/>
          <w:szCs w:val="32"/>
        </w:rPr>
        <w:t>收入总计的</w:t>
      </w:r>
      <w:r>
        <w:rPr>
          <w:rFonts w:hint="eastAsia" w:ascii="仿宋_GB2312" w:hAnsi="宋体" w:eastAsia="仿宋_GB2312"/>
          <w:sz w:val="32"/>
          <w:szCs w:val="32"/>
        </w:rPr>
        <w:t>40.12</w:t>
      </w:r>
      <w:r>
        <w:rPr>
          <w:rFonts w:ascii="仿宋_GB2312" w:hAnsi="宋体" w:eastAsia="仿宋_GB2312"/>
          <w:sz w:val="32"/>
          <w:szCs w:val="32"/>
        </w:rPr>
        <w:t>%</w:t>
      </w:r>
      <w:r>
        <w:rPr>
          <w:rFonts w:hint="eastAsia" w:ascii="仿宋_GB2312" w:hAnsi="宋体" w:eastAsia="仿宋_GB2312"/>
          <w:sz w:val="32"/>
          <w:szCs w:val="32"/>
        </w:rPr>
        <w:t>。其中：公共预算财政拨款收入117万元，政府性基金收入0万元。</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2.事业收入174.6万元，占收入总计的59.88%。主要是医疗收入。</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与上年相比，今年收入减少50.92万元，降低）14.87%，主要原因：</w:t>
      </w:r>
      <w:r>
        <w:rPr>
          <w:rFonts w:hint="eastAsia" w:ascii="黑体" w:hAnsi="黑体" w:eastAsia="黑体"/>
          <w:sz w:val="32"/>
          <w:szCs w:val="32"/>
        </w:rPr>
        <w:t>是</w:t>
      </w:r>
      <w:r>
        <w:rPr>
          <w:rFonts w:hint="eastAsia" w:ascii="仿宋_GB2312" w:hAnsi="宋体" w:eastAsia="仿宋_GB2312"/>
          <w:sz w:val="32"/>
          <w:szCs w:val="32"/>
        </w:rPr>
        <w:t>住院人数减少。</w:t>
      </w:r>
    </w:p>
    <w:p>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（二）支出总计291.6万元，包括：</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1.基本支出291.6万元，占支出总计的100%。主要是为保障机构正常运转、完成日常工作任务而发生的各项支出。</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2.项目支出0万元，占支出总计的0%。主要包括</w:t>
      </w:r>
      <w:r>
        <w:rPr>
          <w:rFonts w:ascii="仿宋_GB2312" w:hAnsi="宋体" w:eastAsia="仿宋_GB2312"/>
          <w:sz w:val="32"/>
          <w:szCs w:val="32"/>
        </w:rPr>
        <w:t>XX</w:t>
      </w:r>
      <w:r>
        <w:rPr>
          <w:rFonts w:hint="eastAsia" w:ascii="仿宋_GB2312" w:hAnsi="宋体" w:eastAsia="仿宋_GB2312"/>
          <w:sz w:val="32"/>
          <w:szCs w:val="32"/>
        </w:rPr>
        <w:t>等业务支出。</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与上年相比，今年支出减少50.92万元，降低14.87%，主要原因：</w:t>
      </w:r>
      <w:r>
        <w:rPr>
          <w:rFonts w:hint="eastAsia" w:ascii="黑体" w:hAnsi="黑体" w:eastAsia="黑体"/>
          <w:sz w:val="32"/>
          <w:szCs w:val="32"/>
        </w:rPr>
        <w:t>一是</w:t>
      </w:r>
      <w:r>
        <w:rPr>
          <w:rFonts w:hint="eastAsia" w:ascii="仿宋_GB2312" w:hAnsi="宋体" w:eastAsia="仿宋_GB2312"/>
          <w:sz w:val="32"/>
          <w:szCs w:val="32"/>
        </w:rPr>
        <w:t>绩效工资减少；二是医疗成本支出减少。</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二、财政拨款支出决算情况</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2019年度财政拨款支出117万元，其中：基本支出117万元，项目支出0万元。与</w:t>
      </w:r>
      <w:r>
        <w:rPr>
          <w:rFonts w:ascii="仿宋_GB2312" w:hAnsi="宋体" w:eastAsia="仿宋_GB2312"/>
          <w:sz w:val="32"/>
          <w:szCs w:val="32"/>
        </w:rPr>
        <w:t>上年相比，</w:t>
      </w:r>
      <w:r>
        <w:rPr>
          <w:rFonts w:hint="eastAsia" w:ascii="仿宋_GB2312" w:hAnsi="宋体" w:eastAsia="仿宋_GB2312"/>
          <w:sz w:val="32"/>
          <w:szCs w:val="32"/>
        </w:rPr>
        <w:t>财政拨款支出减少72万元，降低38.1%，主要原因：一是职工绩效工资减少；二是医疗支出减少。与年初预算相比，2019财政拨款支出完成年初预算的100%，其中：基本支出完成年初预算的100%，项目完成年初预算的0%。</w:t>
      </w:r>
    </w:p>
    <w:p>
      <w:pPr>
        <w:spacing w:line="540" w:lineRule="exact"/>
        <w:ind w:firstLine="660"/>
        <w:rPr>
          <w:rFonts w:ascii="黑体" w:hAnsi="黑体" w:eastAsia="黑体"/>
          <w:sz w:val="32"/>
          <w:szCs w:val="32"/>
        </w:rPr>
      </w:pPr>
      <w:r>
        <w:rPr>
          <w:rFonts w:hint="eastAsia" w:ascii="黑体" w:hAnsi="黑体" w:eastAsia="黑体"/>
          <w:sz w:val="32"/>
          <w:szCs w:val="32"/>
        </w:rPr>
        <w:t>三、一般公共预算财政拨款“三公”经费支出决算情况</w:t>
      </w:r>
    </w:p>
    <w:p>
      <w:pPr>
        <w:spacing w:line="540" w:lineRule="exact"/>
        <w:ind w:firstLine="645"/>
        <w:rPr>
          <w:rFonts w:ascii="仿宋_GB2312" w:hAnsi="宋体" w:eastAsia="仿宋_GB2312"/>
          <w:sz w:val="32"/>
          <w:szCs w:val="32"/>
        </w:rPr>
      </w:pPr>
      <w:r>
        <w:rPr>
          <w:rFonts w:hint="eastAsia" w:ascii="仿宋_GB2312" w:hAnsi="宋体" w:eastAsia="仿宋_GB2312"/>
          <w:sz w:val="32"/>
          <w:szCs w:val="32"/>
        </w:rPr>
        <w:t>本单位本年度无三公经费支出，与上年比无变化。</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四、其他重要事项的情况说明</w:t>
      </w:r>
    </w:p>
    <w:p>
      <w:pPr>
        <w:spacing w:line="540" w:lineRule="exact"/>
        <w:ind w:firstLine="642" w:firstLineChars="200"/>
        <w:rPr>
          <w:rFonts w:ascii="楷体_GB2312" w:hAnsi="黑体" w:eastAsia="楷体_GB2312"/>
          <w:b/>
          <w:sz w:val="32"/>
          <w:szCs w:val="32"/>
        </w:rPr>
      </w:pPr>
      <w:r>
        <w:rPr>
          <w:rFonts w:hint="eastAsia" w:ascii="楷体_GB2312" w:hAnsi="黑体" w:eastAsia="楷体_GB2312"/>
          <w:b/>
          <w:sz w:val="32"/>
          <w:szCs w:val="32"/>
        </w:rPr>
        <w:t>（一）机关运行经费支出情况。</w:t>
      </w:r>
    </w:p>
    <w:p>
      <w:pPr>
        <w:spacing w:line="540" w:lineRule="exact"/>
        <w:ind w:firstLine="1120" w:firstLineChars="350"/>
        <w:rPr>
          <w:rFonts w:ascii="仿宋_GB2312" w:hAnsi="宋体" w:eastAsia="仿宋_GB2312"/>
          <w:sz w:val="32"/>
          <w:szCs w:val="32"/>
        </w:rPr>
      </w:pPr>
      <w:r>
        <w:rPr>
          <w:rFonts w:hint="eastAsia" w:ascii="仿宋_GB2312" w:hAnsi="宋体" w:eastAsia="仿宋_GB2312"/>
          <w:sz w:val="32"/>
          <w:szCs w:val="32"/>
        </w:rPr>
        <w:t>本单位为事业单位，无机关运行经费。</w:t>
      </w:r>
    </w:p>
    <w:p>
      <w:pPr>
        <w:spacing w:line="540" w:lineRule="exact"/>
        <w:ind w:firstLine="642" w:firstLineChars="200"/>
        <w:rPr>
          <w:rFonts w:ascii="楷体_GB2312" w:hAnsi="黑体" w:eastAsia="楷体_GB2312"/>
          <w:b/>
          <w:sz w:val="32"/>
          <w:szCs w:val="32"/>
        </w:rPr>
      </w:pPr>
      <w:r>
        <w:rPr>
          <w:rFonts w:hint="eastAsia" w:ascii="楷体_GB2312" w:hAnsi="黑体" w:eastAsia="楷体_GB2312"/>
          <w:b/>
          <w:sz w:val="32"/>
          <w:szCs w:val="32"/>
        </w:rPr>
        <w:t>（二）政府采购支出情况。</w:t>
      </w:r>
    </w:p>
    <w:p>
      <w:pPr>
        <w:spacing w:line="540" w:lineRule="exact"/>
        <w:ind w:firstLine="1280" w:firstLineChars="400"/>
        <w:rPr>
          <w:rFonts w:hint="eastAsia" w:ascii="仿宋_GB2312" w:eastAsia="仿宋_GB2312"/>
          <w:sz w:val="32"/>
          <w:szCs w:val="32"/>
        </w:rPr>
      </w:pPr>
      <w:r>
        <w:rPr>
          <w:rFonts w:hint="eastAsia" w:ascii="仿宋_GB2312" w:eastAsia="仿宋_GB2312"/>
          <w:sz w:val="32"/>
          <w:szCs w:val="32"/>
        </w:rPr>
        <w:t>本单位本年度无政府采购支出</w:t>
      </w:r>
    </w:p>
    <w:p>
      <w:pPr>
        <w:spacing w:line="540" w:lineRule="exact"/>
        <w:ind w:firstLine="642" w:firstLineChars="200"/>
        <w:rPr>
          <w:rFonts w:ascii="楷体_GB2312" w:hAnsi="黑体" w:eastAsia="楷体_GB2312"/>
          <w:b/>
          <w:sz w:val="32"/>
          <w:szCs w:val="32"/>
        </w:rPr>
      </w:pPr>
      <w:r>
        <w:rPr>
          <w:rFonts w:hint="eastAsia" w:ascii="楷体_GB2312" w:hAnsi="黑体" w:eastAsia="楷体_GB2312"/>
          <w:b/>
          <w:sz w:val="32"/>
          <w:szCs w:val="32"/>
        </w:rPr>
        <w:t>（三）国有资产占用情况。</w:t>
      </w:r>
    </w:p>
    <w:p>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截至2019年12月31日，本单位共有车辆0辆，其中：副省级以上领导干部用车0辆，主要</w:t>
      </w:r>
      <w:r>
        <w:rPr>
          <w:rFonts w:ascii="仿宋_GB2312" w:hAnsi="黑体" w:eastAsia="仿宋_GB2312"/>
          <w:sz w:val="32"/>
          <w:szCs w:val="32"/>
        </w:rPr>
        <w:t>领导干部</w:t>
      </w:r>
      <w:r>
        <w:rPr>
          <w:rFonts w:hint="eastAsia" w:ascii="仿宋_GB2312" w:hAnsi="黑体" w:eastAsia="仿宋_GB2312"/>
          <w:sz w:val="32"/>
          <w:szCs w:val="32"/>
        </w:rPr>
        <w:t>用车0辆，机要通讯用车0辆，应急</w:t>
      </w:r>
      <w:r>
        <w:rPr>
          <w:rFonts w:ascii="仿宋_GB2312" w:hAnsi="黑体" w:eastAsia="仿宋_GB2312"/>
          <w:sz w:val="32"/>
          <w:szCs w:val="32"/>
        </w:rPr>
        <w:t>保障用车</w:t>
      </w:r>
      <w:r>
        <w:rPr>
          <w:rFonts w:hint="eastAsia" w:ascii="仿宋_GB2312" w:hAnsi="黑体" w:eastAsia="仿宋_GB2312"/>
          <w:sz w:val="32"/>
          <w:szCs w:val="32"/>
        </w:rPr>
        <w:t>0</w:t>
      </w:r>
      <w:r>
        <w:rPr>
          <w:rFonts w:ascii="仿宋_GB2312" w:hAnsi="黑体" w:eastAsia="仿宋_GB2312"/>
          <w:sz w:val="32"/>
          <w:szCs w:val="32"/>
        </w:rPr>
        <w:t>辆，</w:t>
      </w:r>
      <w:r>
        <w:rPr>
          <w:rFonts w:hint="eastAsia" w:ascii="仿宋_GB2312" w:hAnsi="黑体" w:eastAsia="仿宋_GB2312"/>
          <w:sz w:val="32"/>
          <w:szCs w:val="32"/>
        </w:rPr>
        <w:t>执法执勤</w:t>
      </w:r>
      <w:r>
        <w:rPr>
          <w:rFonts w:ascii="仿宋_GB2312" w:hAnsi="黑体" w:eastAsia="仿宋_GB2312"/>
          <w:sz w:val="32"/>
          <w:szCs w:val="32"/>
        </w:rPr>
        <w:t>用车</w:t>
      </w:r>
      <w:r>
        <w:rPr>
          <w:rFonts w:hint="eastAsia" w:ascii="仿宋_GB2312" w:hAnsi="黑体" w:eastAsia="仿宋_GB2312"/>
          <w:sz w:val="32"/>
          <w:szCs w:val="32"/>
        </w:rPr>
        <w:t>0辆</w:t>
      </w:r>
      <w:r>
        <w:rPr>
          <w:rFonts w:ascii="仿宋_GB2312" w:hAnsi="黑体" w:eastAsia="仿宋_GB2312"/>
          <w:sz w:val="32"/>
          <w:szCs w:val="32"/>
        </w:rPr>
        <w:t>，</w:t>
      </w:r>
      <w:r>
        <w:rPr>
          <w:rFonts w:hint="eastAsia" w:ascii="仿宋_GB2312" w:hAnsi="黑体" w:eastAsia="仿宋_GB2312"/>
          <w:sz w:val="32"/>
          <w:szCs w:val="32"/>
        </w:rPr>
        <w:t>特种专业技术用车0辆，离退休</w:t>
      </w:r>
      <w:r>
        <w:rPr>
          <w:rFonts w:ascii="仿宋_GB2312" w:hAnsi="黑体" w:eastAsia="仿宋_GB2312"/>
          <w:sz w:val="32"/>
          <w:szCs w:val="32"/>
        </w:rPr>
        <w:t>干部用车</w:t>
      </w:r>
      <w:r>
        <w:rPr>
          <w:rFonts w:hint="eastAsia" w:ascii="仿宋_GB2312" w:hAnsi="黑体" w:eastAsia="仿宋_GB2312"/>
          <w:sz w:val="32"/>
          <w:szCs w:val="32"/>
        </w:rPr>
        <w:t>0辆</w:t>
      </w:r>
      <w:r>
        <w:rPr>
          <w:rFonts w:ascii="仿宋_GB2312" w:hAnsi="黑体" w:eastAsia="仿宋_GB2312"/>
          <w:sz w:val="32"/>
          <w:szCs w:val="32"/>
        </w:rPr>
        <w:t>，</w:t>
      </w:r>
      <w:r>
        <w:rPr>
          <w:rFonts w:hint="eastAsia" w:ascii="仿宋_GB2312" w:hAnsi="黑体" w:eastAsia="仿宋_GB2312"/>
          <w:sz w:val="32"/>
          <w:szCs w:val="32"/>
        </w:rPr>
        <w:t>其他用车0辆，；单位价值50万元以上通用设备0台（套），单价100万元以上专用设备0台（套）。</w:t>
      </w:r>
    </w:p>
    <w:p>
      <w:pPr>
        <w:spacing w:line="540" w:lineRule="exact"/>
        <w:ind w:firstLine="642" w:firstLineChars="200"/>
        <w:rPr>
          <w:rFonts w:ascii="楷体_GB2312" w:hAnsi="宋体" w:eastAsia="楷体_GB2312"/>
          <w:b/>
          <w:sz w:val="32"/>
          <w:szCs w:val="32"/>
        </w:rPr>
      </w:pPr>
      <w:r>
        <w:rPr>
          <w:rFonts w:hint="eastAsia" w:ascii="楷体_GB2312" w:hAnsi="宋体" w:eastAsia="楷体_GB2312"/>
          <w:b/>
          <w:sz w:val="32"/>
          <w:szCs w:val="32"/>
        </w:rPr>
        <w:t>（四）预算绩效管理工作开展情况。</w:t>
      </w:r>
    </w:p>
    <w:p>
      <w:pPr>
        <w:spacing w:line="540" w:lineRule="exact"/>
        <w:ind w:firstLine="660"/>
        <w:rPr>
          <w:rFonts w:ascii="仿宋_GB2312" w:hAnsi="黑体" w:eastAsia="仿宋_GB2312"/>
          <w:sz w:val="32"/>
          <w:szCs w:val="32"/>
        </w:rPr>
      </w:pPr>
      <w:r>
        <w:rPr>
          <w:rFonts w:hint="eastAsia" w:ascii="仿宋_GB2312" w:hAnsi="黑体" w:eastAsia="仿宋_GB2312"/>
          <w:sz w:val="32"/>
          <w:szCs w:val="32"/>
        </w:rPr>
        <w:t>本单位本年不涉及民生项目和重点支持项目，故无绩效评价情况公开。</w:t>
      </w:r>
    </w:p>
    <w:p>
      <w:pPr>
        <w:spacing w:line="540" w:lineRule="exact"/>
        <w:jc w:val="center"/>
        <w:rPr>
          <w:rFonts w:ascii="仿宋_GB2312" w:hAnsi="宋体" w:eastAsia="仿宋_GB2312" w:cs="宋体"/>
          <w:sz w:val="32"/>
          <w:szCs w:val="32"/>
        </w:rPr>
      </w:pPr>
      <w:r>
        <w:rPr>
          <w:rFonts w:hint="eastAsia" w:ascii="宋体" w:hAnsi="宋体"/>
          <w:b/>
          <w:sz w:val="36"/>
          <w:szCs w:val="36"/>
        </w:rPr>
        <w:br w:type="page"/>
      </w:r>
      <w:r>
        <w:rPr>
          <w:rFonts w:hint="eastAsia" w:ascii="宋体" w:hAnsi="宋体"/>
          <w:b/>
          <w:sz w:val="36"/>
          <w:szCs w:val="36"/>
        </w:rPr>
        <w:t>第四部分 名词解释</w:t>
      </w:r>
    </w:p>
    <w:p>
      <w:pPr>
        <w:spacing w:line="540" w:lineRule="exact"/>
        <w:jc w:val="center"/>
        <w:rPr>
          <w:rFonts w:ascii="宋体" w:hAnsi="宋体"/>
          <w:b/>
          <w:sz w:val="36"/>
          <w:szCs w:val="36"/>
        </w:rPr>
      </w:pP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指单位从同级财政部门取得的财政预算资金。</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2.上级补助收入：</w:t>
      </w:r>
      <w:r>
        <w:rPr>
          <w:rFonts w:hint="eastAsia" w:ascii="仿宋_GB2312" w:eastAsia="仿宋_GB2312"/>
          <w:sz w:val="32"/>
          <w:szCs w:val="32"/>
        </w:rPr>
        <w:t>指单位从主管部门和上级单位取得的非财政性补助收入。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3.事业收入：</w:t>
      </w:r>
      <w:r>
        <w:rPr>
          <w:rFonts w:hint="eastAsia" w:ascii="仿宋_GB2312" w:eastAsia="仿宋_GB2312"/>
          <w:sz w:val="32"/>
          <w:szCs w:val="32"/>
        </w:rPr>
        <w:t>指事业单位开展专业业务活动及辅助活动所取得的收入。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4.经营收入：</w:t>
      </w:r>
      <w:r>
        <w:rPr>
          <w:rFonts w:hint="eastAsia" w:ascii="仿宋_GB2312" w:eastAsia="仿宋_GB2312"/>
          <w:sz w:val="32"/>
          <w:szCs w:val="32"/>
        </w:rPr>
        <w:t>指事业单位在专业业务活动及辅助活动之外开展非独立核算经营活动取得的收入。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5.附属单位上缴收入：</w:t>
      </w:r>
      <w:r>
        <w:rPr>
          <w:rFonts w:hint="eastAsia" w:ascii="仿宋_GB2312" w:eastAsia="仿宋_GB2312"/>
          <w:sz w:val="32"/>
          <w:szCs w:val="32"/>
        </w:rPr>
        <w:t>指单位附属的独立核算单位按照规定上缴的收入。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6.其他收入：</w:t>
      </w:r>
      <w:r>
        <w:rPr>
          <w:rFonts w:hint="eastAsia" w:ascii="仿宋_GB2312" w:eastAsia="仿宋_GB2312"/>
          <w:sz w:val="32"/>
          <w:szCs w:val="32"/>
        </w:rPr>
        <w:t>指除上述“财政拨款收入”、</w:t>
      </w:r>
      <w:r>
        <w:rPr>
          <w:rFonts w:hint="eastAsia" w:ascii="仿宋_GB2312" w:eastAsia="仿宋_GB2312"/>
          <w:b/>
          <w:sz w:val="32"/>
          <w:szCs w:val="32"/>
        </w:rPr>
        <w:t xml:space="preserve"> </w:t>
      </w:r>
      <w:r>
        <w:rPr>
          <w:rFonts w:hint="eastAsia" w:ascii="仿宋_GB2312" w:eastAsia="仿宋_GB2312"/>
          <w:sz w:val="32"/>
          <w:szCs w:val="32"/>
        </w:rPr>
        <w:t>“上级补助收入”、“事业收入”、“经营收入”、“附属单位上缴收入”等以外的收入。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7.用事业基金弥补收支差额：</w:t>
      </w:r>
      <w:r>
        <w:rPr>
          <w:rFonts w:hint="eastAsia" w:ascii="仿宋_GB2312" w:eastAsia="仿宋_GB2312"/>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8.上年结转和结余：</w:t>
      </w:r>
      <w:r>
        <w:rPr>
          <w:rFonts w:hint="eastAsia" w:ascii="仿宋_GB2312" w:eastAsia="仿宋_GB2312"/>
          <w:sz w:val="32"/>
          <w:szCs w:val="32"/>
        </w:rPr>
        <w:t>指以前年度尚未完成、结转到本年按有关规定继续使用的资金。</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9.基本支出：</w:t>
      </w:r>
      <w:r>
        <w:rPr>
          <w:rFonts w:hint="eastAsia" w:ascii="仿宋_GB2312" w:eastAsia="仿宋_GB2312"/>
          <w:sz w:val="32"/>
          <w:szCs w:val="32"/>
        </w:rPr>
        <w:t>指保障机构正常运转、完成日常工作任务而发生的人员支出和公用支出。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10.项目支出：</w:t>
      </w:r>
      <w:r>
        <w:rPr>
          <w:rFonts w:hint="eastAsia" w:ascii="仿宋_GB2312" w:eastAsia="仿宋_GB2312"/>
          <w:sz w:val="32"/>
          <w:szCs w:val="32"/>
        </w:rPr>
        <w:t>指在基本支出之外为完成特定行政任务和事业发展目标所发生的支出。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11.上缴上级支出：</w:t>
      </w:r>
      <w:r>
        <w:rPr>
          <w:rFonts w:hint="eastAsia" w:ascii="仿宋_GB2312" w:eastAsia="仿宋_GB2312"/>
          <w:sz w:val="32"/>
          <w:szCs w:val="32"/>
        </w:rPr>
        <w:t>指事业单位按照财政部门和主管部门的规定上缴上级单位的支出。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12.经营支出：</w:t>
      </w:r>
      <w:r>
        <w:rPr>
          <w:rFonts w:hint="eastAsia" w:ascii="仿宋_GB2312" w:eastAsia="仿宋_GB2312"/>
          <w:sz w:val="32"/>
          <w:szCs w:val="32"/>
        </w:rPr>
        <w:t>指事业单位在专业活动及辅助活动之外开展非独立核算经营活动发生的支出。</w:t>
      </w:r>
    </w:p>
    <w:p>
      <w:pPr>
        <w:spacing w:line="540" w:lineRule="exact"/>
        <w:ind w:firstLine="642" w:firstLineChars="200"/>
        <w:rPr>
          <w:rFonts w:hint="eastAsia" w:ascii="仿宋_GB2312" w:eastAsia="仿宋_GB2312"/>
          <w:b/>
          <w:sz w:val="32"/>
          <w:szCs w:val="32"/>
        </w:rPr>
      </w:pPr>
      <w:r>
        <w:rPr>
          <w:rFonts w:hint="eastAsia" w:ascii="仿宋_GB2312" w:eastAsia="仿宋_GB2312"/>
          <w:b/>
          <w:sz w:val="32"/>
          <w:szCs w:val="32"/>
        </w:rPr>
        <w:t>13.对附属单位补助支出：</w:t>
      </w:r>
      <w:r>
        <w:rPr>
          <w:rFonts w:hint="eastAsia" w:ascii="仿宋_GB2312" w:eastAsia="仿宋_GB2312"/>
          <w:sz w:val="32"/>
          <w:szCs w:val="32"/>
        </w:rPr>
        <w:t>指事业单位用财政补助收入之外的收入对附属单位补助发生的支出。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14.“三公”经费：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2" w:firstLineChars="200"/>
        <w:rPr>
          <w:rFonts w:hint="eastAsia" w:ascii="仿宋_GB2312" w:eastAsia="仿宋_GB2312"/>
          <w:b/>
          <w:sz w:val="32"/>
          <w:szCs w:val="32"/>
        </w:rPr>
      </w:pPr>
      <w:r>
        <w:rPr>
          <w:rFonts w:hint="eastAsia" w:ascii="仿宋_GB2312" w:eastAsia="仿宋_GB2312"/>
          <w:b/>
          <w:sz w:val="32"/>
          <w:szCs w:val="32"/>
        </w:rPr>
        <w:t>15.一般公共服务（类）财政事务（款）行政运行（项）：</w:t>
      </w:r>
      <w:r>
        <w:rPr>
          <w:rFonts w:hint="eastAsia" w:ascii="仿宋_GB2312" w:eastAsia="仿宋_GB2312"/>
          <w:sz w:val="32"/>
          <w:szCs w:val="32"/>
        </w:rPr>
        <w:t>反映行政单位（包括实行公务员管理的事业单位）的基本支出。</w:t>
      </w:r>
    </w:p>
    <w:p>
      <w:pPr>
        <w:spacing w:line="540" w:lineRule="exact"/>
        <w:ind w:firstLine="640" w:firstLineChars="200"/>
        <w:rPr>
          <w:rFonts w:hint="eastAsia" w:ascii="仿宋_GB2312" w:eastAsia="仿宋_GB2312"/>
          <w:b/>
          <w:sz w:val="32"/>
          <w:szCs w:val="32"/>
        </w:rPr>
      </w:pPr>
      <w:r>
        <w:rPr>
          <w:rFonts w:hint="eastAsia" w:ascii="仿宋_GB2312" w:eastAsia="仿宋_GB2312"/>
          <w:i/>
          <w:sz w:val="32"/>
          <w:szCs w:val="32"/>
          <w:u w:val="single"/>
        </w:rPr>
        <w:t>（部门决算涉及的支出功能分类全部项级科目，逐一解释）……</w:t>
      </w:r>
    </w:p>
    <w:p>
      <w:pPr>
        <w:spacing w:line="540" w:lineRule="exact"/>
        <w:rPr>
          <w:rFonts w:hint="eastAsia"/>
          <w:sz w:val="32"/>
          <w:szCs w:val="32"/>
        </w:rPr>
        <w:sectPr>
          <w:footerReference r:id="rId3" w:type="default"/>
          <w:footerReference r:id="rId4" w:type="even"/>
          <w:pgSz w:w="11906" w:h="16838"/>
          <w:pgMar w:top="1418" w:right="1701" w:bottom="1418" w:left="1701" w:header="851" w:footer="992" w:gutter="0"/>
          <w:cols w:space="720" w:num="1"/>
          <w:docGrid w:type="lines" w:linePitch="312" w:charSpace="0"/>
        </w:sectPr>
      </w:pPr>
    </w:p>
    <w:p>
      <w:pPr>
        <w:spacing w:line="540" w:lineRule="exact"/>
        <w:ind w:firstLine="640" w:firstLineChars="200"/>
        <w:jc w:val="left"/>
        <w:rPr>
          <w:rFonts w:hint="eastAsia" w:ascii="仿宋_GB2312" w:eastAsia="仿宋_GB2312"/>
          <w:i/>
          <w:sz w:val="32"/>
          <w:szCs w:val="32"/>
          <w:u w:val="single"/>
        </w:rPr>
      </w:pPr>
    </w:p>
    <w:p>
      <w:pPr>
        <w:spacing w:line="540" w:lineRule="exact"/>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hint="eastAsia" w:ascii="仿宋_GB2312" w:eastAsia="仿宋_GB2312"/>
          <w:sz w:val="52"/>
          <w:szCs w:val="52"/>
        </w:rPr>
      </w:pPr>
      <w:r>
        <w:rPr>
          <w:rFonts w:hint="eastAsia" w:ascii="宋体" w:hAnsi="宋体"/>
          <w:b/>
          <w:sz w:val="52"/>
          <w:szCs w:val="52"/>
        </w:rPr>
        <w:t>第二部分 康平县小城子中心卫生院2019年度部门决算表</w:t>
      </w:r>
    </w:p>
    <w:p>
      <w:pPr>
        <w:spacing w:line="540" w:lineRule="exact"/>
        <w:jc w:val="left"/>
        <w:rPr>
          <w:rFonts w:hint="eastAsia"/>
          <w:sz w:val="32"/>
          <w:szCs w:val="32"/>
        </w:rPr>
      </w:pPr>
    </w:p>
    <w:p>
      <w:pPr>
        <w:spacing w:line="540" w:lineRule="exact"/>
        <w:ind w:firstLine="640" w:firstLineChars="200"/>
        <w:rPr>
          <w:rFonts w:hint="eastAsia"/>
          <w:sz w:val="32"/>
          <w:szCs w:val="32"/>
        </w:rPr>
      </w:pPr>
      <w:r>
        <w:rPr>
          <w:rFonts w:hint="eastAsia"/>
          <w:sz w:val="32"/>
          <w:szCs w:val="32"/>
        </w:rPr>
        <w:t>附注说明：本单位GK07 2019年度政府性基金预算财政拨款收入支出决算表和GK08 2019年度一般公共预算财政拨款“三公”经费支出决算为空表，无数据。</w:t>
      </w:r>
    </w:p>
    <w:sectPr>
      <w:pgSz w:w="16838" w:h="11906" w:orient="landscape"/>
      <w:pgMar w:top="1418" w:right="1701" w:bottom="14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Verdana">
    <w:altName w:val="DejaVu Sans"/>
    <w:panose1 w:val="020B0604030504040204"/>
    <w:charset w:val="00"/>
    <w:family w:val="swiss"/>
    <w:pitch w:val="default"/>
    <w:sig w:usb0="00000000" w:usb1="00000000" w:usb2="00000010" w:usb3="00000000" w:csb0="2000019F"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Fonts w:hint="eastAsia"/>
      </w:rPr>
    </w:pPr>
    <w:r>
      <w:fldChar w:fldCharType="begin"/>
    </w:r>
    <w:r>
      <w:rPr>
        <w:rStyle w:val="7"/>
      </w:rPr>
      <w:instrText xml:space="preserve">PAGE  </w:instrText>
    </w:r>
    <w:r>
      <w:fldChar w:fldCharType="separate"/>
    </w:r>
    <w:r>
      <w:rPr>
        <w:rStyle w:val="7"/>
        <w:rFonts w:hint="eastAsia"/>
      </w:rPr>
      <w:t>10</w:t>
    </w:r>
    <w:r>
      <w:fldChar w:fldCharType="end"/>
    </w:r>
  </w:p>
  <w:p>
    <w:pPr>
      <w:pStyle w:val="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Fonts w:hint="eastAsia"/>
      </w:rPr>
    </w:pPr>
    <w:r>
      <w:fldChar w:fldCharType="begin"/>
    </w:r>
    <w:r>
      <w:rPr>
        <w:rStyle w:val="7"/>
      </w:rPr>
      <w:instrText xml:space="preserve">PAGE  </w:instrText>
    </w:r>
    <w:r>
      <w:fldChar w:fldCharType="end"/>
    </w:r>
  </w:p>
  <w:p>
    <w:pPr>
      <w:pStyle w:val="3"/>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245D3"/>
    <w:multiLevelType w:val="singleLevel"/>
    <w:tmpl w:val="13B245D3"/>
    <w:lvl w:ilvl="0" w:tentative="0">
      <w:start w:val="3"/>
      <w:numFmt w:val="chineseCounting"/>
      <w:suff w:val="space"/>
      <w:lvlText w:val="第%1部分"/>
      <w:lvlJc w:val="left"/>
      <w:rPr>
        <w:rFonts w:hint="eastAsia"/>
      </w:rPr>
    </w:lvl>
  </w:abstractNum>
  <w:abstractNum w:abstractNumId="1">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E62AD"/>
    <w:rsid w:val="00011375"/>
    <w:rsid w:val="00032E9E"/>
    <w:rsid w:val="000372DF"/>
    <w:rsid w:val="0005667B"/>
    <w:rsid w:val="00060115"/>
    <w:rsid w:val="000658A3"/>
    <w:rsid w:val="00072D02"/>
    <w:rsid w:val="000B3DEA"/>
    <w:rsid w:val="000B6122"/>
    <w:rsid w:val="000D22BA"/>
    <w:rsid w:val="000D240A"/>
    <w:rsid w:val="000E2475"/>
    <w:rsid w:val="000F765E"/>
    <w:rsid w:val="001032C2"/>
    <w:rsid w:val="00104E80"/>
    <w:rsid w:val="00151E7C"/>
    <w:rsid w:val="00163B6F"/>
    <w:rsid w:val="00180967"/>
    <w:rsid w:val="00180B70"/>
    <w:rsid w:val="00193B86"/>
    <w:rsid w:val="00197AF9"/>
    <w:rsid w:val="001C1C90"/>
    <w:rsid w:val="001C3664"/>
    <w:rsid w:val="001C6690"/>
    <w:rsid w:val="001C71DE"/>
    <w:rsid w:val="001D2A6F"/>
    <w:rsid w:val="001E08A3"/>
    <w:rsid w:val="001E4687"/>
    <w:rsid w:val="001F06E5"/>
    <w:rsid w:val="001F4827"/>
    <w:rsid w:val="00204B16"/>
    <w:rsid w:val="00207D64"/>
    <w:rsid w:val="0022212D"/>
    <w:rsid w:val="002229FC"/>
    <w:rsid w:val="0028081F"/>
    <w:rsid w:val="0028468A"/>
    <w:rsid w:val="00290AFF"/>
    <w:rsid w:val="002B0ED2"/>
    <w:rsid w:val="002F06AC"/>
    <w:rsid w:val="00306E33"/>
    <w:rsid w:val="003203A0"/>
    <w:rsid w:val="003203C6"/>
    <w:rsid w:val="00321141"/>
    <w:rsid w:val="00323084"/>
    <w:rsid w:val="00332D2F"/>
    <w:rsid w:val="00336596"/>
    <w:rsid w:val="0035450D"/>
    <w:rsid w:val="00367CAA"/>
    <w:rsid w:val="00375438"/>
    <w:rsid w:val="003843E9"/>
    <w:rsid w:val="00387D22"/>
    <w:rsid w:val="00393A92"/>
    <w:rsid w:val="003B6717"/>
    <w:rsid w:val="003F6668"/>
    <w:rsid w:val="003F6BEE"/>
    <w:rsid w:val="004041E3"/>
    <w:rsid w:val="00404E0A"/>
    <w:rsid w:val="00411F62"/>
    <w:rsid w:val="00412DAF"/>
    <w:rsid w:val="00415E0F"/>
    <w:rsid w:val="00456D37"/>
    <w:rsid w:val="004732D7"/>
    <w:rsid w:val="004A23C9"/>
    <w:rsid w:val="004A327E"/>
    <w:rsid w:val="004B0299"/>
    <w:rsid w:val="004D61EA"/>
    <w:rsid w:val="004F2A87"/>
    <w:rsid w:val="0050710B"/>
    <w:rsid w:val="005116A6"/>
    <w:rsid w:val="00524803"/>
    <w:rsid w:val="00526EDB"/>
    <w:rsid w:val="00534C2B"/>
    <w:rsid w:val="00561F4D"/>
    <w:rsid w:val="00564067"/>
    <w:rsid w:val="00593321"/>
    <w:rsid w:val="005948B6"/>
    <w:rsid w:val="005A3448"/>
    <w:rsid w:val="005D376B"/>
    <w:rsid w:val="005D57A0"/>
    <w:rsid w:val="00604DF5"/>
    <w:rsid w:val="00631CB0"/>
    <w:rsid w:val="006444D8"/>
    <w:rsid w:val="006459D8"/>
    <w:rsid w:val="00662644"/>
    <w:rsid w:val="006644B5"/>
    <w:rsid w:val="00671A28"/>
    <w:rsid w:val="00691121"/>
    <w:rsid w:val="006A684B"/>
    <w:rsid w:val="006E587F"/>
    <w:rsid w:val="006E68E1"/>
    <w:rsid w:val="007121E9"/>
    <w:rsid w:val="00726A72"/>
    <w:rsid w:val="007302F8"/>
    <w:rsid w:val="00750153"/>
    <w:rsid w:val="0078023E"/>
    <w:rsid w:val="00780DF3"/>
    <w:rsid w:val="007B04F4"/>
    <w:rsid w:val="007B6B61"/>
    <w:rsid w:val="007C52D7"/>
    <w:rsid w:val="007D27D8"/>
    <w:rsid w:val="007D2BBC"/>
    <w:rsid w:val="007D6F23"/>
    <w:rsid w:val="007E29F5"/>
    <w:rsid w:val="007E5051"/>
    <w:rsid w:val="007E7717"/>
    <w:rsid w:val="007F2DFA"/>
    <w:rsid w:val="008137CD"/>
    <w:rsid w:val="00822085"/>
    <w:rsid w:val="00822199"/>
    <w:rsid w:val="00857EE3"/>
    <w:rsid w:val="00872D1D"/>
    <w:rsid w:val="00881DD9"/>
    <w:rsid w:val="00884AC9"/>
    <w:rsid w:val="0089145A"/>
    <w:rsid w:val="00894620"/>
    <w:rsid w:val="008B2CFC"/>
    <w:rsid w:val="008B3CCB"/>
    <w:rsid w:val="008C3717"/>
    <w:rsid w:val="008D1604"/>
    <w:rsid w:val="008F7276"/>
    <w:rsid w:val="009153E0"/>
    <w:rsid w:val="00936C75"/>
    <w:rsid w:val="00985733"/>
    <w:rsid w:val="00986EB2"/>
    <w:rsid w:val="009B4D1E"/>
    <w:rsid w:val="009B79E2"/>
    <w:rsid w:val="009E1F36"/>
    <w:rsid w:val="009E38FF"/>
    <w:rsid w:val="009E4E30"/>
    <w:rsid w:val="009F0A40"/>
    <w:rsid w:val="009F2380"/>
    <w:rsid w:val="00A0483E"/>
    <w:rsid w:val="00A7262F"/>
    <w:rsid w:val="00A80804"/>
    <w:rsid w:val="00AB4DD1"/>
    <w:rsid w:val="00AD04B4"/>
    <w:rsid w:val="00AE171A"/>
    <w:rsid w:val="00AF3E3D"/>
    <w:rsid w:val="00AF5725"/>
    <w:rsid w:val="00B13FB0"/>
    <w:rsid w:val="00B515A4"/>
    <w:rsid w:val="00B70A86"/>
    <w:rsid w:val="00B73101"/>
    <w:rsid w:val="00B74E1E"/>
    <w:rsid w:val="00B869C4"/>
    <w:rsid w:val="00BB3AF8"/>
    <w:rsid w:val="00BD0675"/>
    <w:rsid w:val="00BE4E88"/>
    <w:rsid w:val="00BE62AD"/>
    <w:rsid w:val="00BF04D3"/>
    <w:rsid w:val="00BF3D70"/>
    <w:rsid w:val="00BF60B9"/>
    <w:rsid w:val="00C102DC"/>
    <w:rsid w:val="00C30DAE"/>
    <w:rsid w:val="00C30E2D"/>
    <w:rsid w:val="00C524CB"/>
    <w:rsid w:val="00C52BC7"/>
    <w:rsid w:val="00C63AF4"/>
    <w:rsid w:val="00C70C71"/>
    <w:rsid w:val="00C83E30"/>
    <w:rsid w:val="00C9510A"/>
    <w:rsid w:val="00CA2F0D"/>
    <w:rsid w:val="00CA64DE"/>
    <w:rsid w:val="00CB5AB6"/>
    <w:rsid w:val="00CD5373"/>
    <w:rsid w:val="00CD5DF2"/>
    <w:rsid w:val="00CD6864"/>
    <w:rsid w:val="00CD6878"/>
    <w:rsid w:val="00CD6DCF"/>
    <w:rsid w:val="00CE6EE4"/>
    <w:rsid w:val="00CF12E5"/>
    <w:rsid w:val="00D60970"/>
    <w:rsid w:val="00D67601"/>
    <w:rsid w:val="00D7682F"/>
    <w:rsid w:val="00D93016"/>
    <w:rsid w:val="00DB5F6B"/>
    <w:rsid w:val="00DF3E8C"/>
    <w:rsid w:val="00E029F0"/>
    <w:rsid w:val="00E1096F"/>
    <w:rsid w:val="00E116D7"/>
    <w:rsid w:val="00E20F61"/>
    <w:rsid w:val="00E30744"/>
    <w:rsid w:val="00E36863"/>
    <w:rsid w:val="00E51358"/>
    <w:rsid w:val="00E632F0"/>
    <w:rsid w:val="00E73F31"/>
    <w:rsid w:val="00E93FAF"/>
    <w:rsid w:val="00EA177D"/>
    <w:rsid w:val="00EB6D7D"/>
    <w:rsid w:val="00EC0480"/>
    <w:rsid w:val="00EE1982"/>
    <w:rsid w:val="00EE28BB"/>
    <w:rsid w:val="00EE7AA1"/>
    <w:rsid w:val="00F12957"/>
    <w:rsid w:val="00F24450"/>
    <w:rsid w:val="00F54C5F"/>
    <w:rsid w:val="00F55490"/>
    <w:rsid w:val="00F622B4"/>
    <w:rsid w:val="00F65298"/>
    <w:rsid w:val="00F7088D"/>
    <w:rsid w:val="00F72460"/>
    <w:rsid w:val="00F77B80"/>
    <w:rsid w:val="00F93076"/>
    <w:rsid w:val="00F932BE"/>
    <w:rsid w:val="00FB7735"/>
    <w:rsid w:val="00FE3E9D"/>
    <w:rsid w:val="059A295B"/>
    <w:rsid w:val="1D951E4F"/>
    <w:rsid w:val="1E8F141E"/>
    <w:rsid w:val="2158358B"/>
    <w:rsid w:val="399B02B4"/>
    <w:rsid w:val="40CD42FE"/>
    <w:rsid w:val="4A5D44CA"/>
    <w:rsid w:val="5D8D0B4B"/>
    <w:rsid w:val="5FAE4E63"/>
    <w:rsid w:val="601A3093"/>
    <w:rsid w:val="664B67D7"/>
    <w:rsid w:val="6C932262"/>
    <w:rsid w:val="6E2E70AD"/>
    <w:rsid w:val="6E6E41B8"/>
    <w:rsid w:val="6F1153E3"/>
    <w:rsid w:val="757874D9"/>
    <w:rsid w:val="79A03451"/>
    <w:rsid w:val="7D843944"/>
    <w:rsid w:val="7E9A5790"/>
    <w:rsid w:val="7F1104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styleId="8">
    <w:name w:val="Hyperlink"/>
    <w:basedOn w:val="6"/>
    <w:qFormat/>
    <w:uiPriority w:val="0"/>
    <w:rPr>
      <w:color w:val="0000FF"/>
      <w:u w:val="single"/>
    </w:rPr>
  </w:style>
  <w:style w:type="character" w:customStyle="1" w:styleId="9">
    <w:name w:val="批注框文本 Char"/>
    <w:link w:val="2"/>
    <w:qFormat/>
    <w:uiPriority w:val="0"/>
    <w:rPr>
      <w:kern w:val="2"/>
      <w:sz w:val="18"/>
      <w:szCs w:val="18"/>
    </w:rPr>
  </w:style>
  <w:style w:type="character" w:customStyle="1" w:styleId="10">
    <w:name w:val="页眉 Char"/>
    <w:link w:val="4"/>
    <w:qFormat/>
    <w:uiPriority w:val="0"/>
    <w:rPr>
      <w:kern w:val="2"/>
      <w:sz w:val="18"/>
      <w:szCs w:val="18"/>
    </w:rPr>
  </w:style>
  <w:style w:type="paragraph" w:customStyle="1" w:styleId="11">
    <w:name w:val="Char"/>
    <w:basedOn w:val="1"/>
    <w:qFormat/>
    <w:uiPriority w:val="0"/>
    <w:pPr>
      <w:widowControl/>
      <w:jc w:val="left"/>
    </w:pPr>
    <w:rPr>
      <w:rFonts w:ascii="Verdana" w:hAnsi="Verdana" w:eastAsia="仿宋_GB2312"/>
      <w:kern w:val="0"/>
      <w:sz w:val="28"/>
      <w:szCs w:val="20"/>
      <w:lang w:eastAsia="en-US"/>
    </w:rPr>
  </w:style>
  <w:style w:type="paragraph" w:styleId="1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581</Words>
  <Characters>3314</Characters>
  <Lines>27</Lines>
  <Paragraphs>7</Paragraphs>
  <TotalTime>78</TotalTime>
  <ScaleCrop>false</ScaleCrop>
  <LinksUpToDate>false</LinksUpToDate>
  <CharactersWithSpaces>3888</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2020-08-18T15:26:00Z</dcterms:created>
  <dc:creator>lenovo</dc:creator>
  <cp:lastModifiedBy>user</cp:lastModifiedBy>
  <cp:lastPrinted>2020-08-18T15:22:00Z</cp:lastPrinted>
  <dcterms:modified xsi:type="dcterms:W3CDTF">2025-09-16T16:34:53Z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C2E451844DB535D62D21C9684FB53E1E</vt:lpwstr>
  </property>
</Properties>
</file>