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jc w:val="center"/>
        <w:rPr>
          <w:rFonts w:ascii="宋体" w:hAnsi="宋体"/>
          <w:b/>
          <w:sz w:val="52"/>
          <w:szCs w:val="52"/>
        </w:rPr>
      </w:pPr>
      <w:r>
        <w:rPr>
          <w:rFonts w:hint="eastAsia" w:ascii="宋体" w:hAnsi="宋体"/>
          <w:b/>
          <w:sz w:val="52"/>
          <w:szCs w:val="52"/>
        </w:rPr>
        <w:t>康平县小城子中心卫生院20</w:t>
      </w:r>
      <w:r>
        <w:rPr>
          <w:rFonts w:hint="eastAsia" w:ascii="宋体" w:hAnsi="宋体"/>
          <w:b/>
          <w:sz w:val="52"/>
          <w:szCs w:val="52"/>
          <w:lang w:val="en-US" w:eastAsia="zh-CN"/>
        </w:rPr>
        <w:t>20</w:t>
      </w:r>
      <w:r>
        <w:rPr>
          <w:rFonts w:hint="eastAsia" w:ascii="宋体" w:hAnsi="宋体"/>
          <w:b/>
          <w:sz w:val="52"/>
          <w:szCs w:val="52"/>
        </w:rPr>
        <w:t>年度部门决算</w:t>
      </w: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ascii="黑体" w:hAnsi="黑体" w:eastAsia="黑体"/>
          <w:sz w:val="32"/>
          <w:szCs w:val="32"/>
        </w:rPr>
      </w:pPr>
      <w:r>
        <w:rPr>
          <w:rFonts w:hint="eastAsia" w:ascii="黑体" w:hAnsi="黑体" w:eastAsia="黑体"/>
          <w:sz w:val="32"/>
          <w:szCs w:val="32"/>
        </w:rPr>
        <w:t>第一部分    康平县小城子中心卫生院概况</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ascii="黑体" w:hAnsi="黑体" w:eastAsia="黑体"/>
          <w:sz w:val="32"/>
          <w:szCs w:val="32"/>
        </w:rPr>
      </w:pPr>
      <w:r>
        <w:rPr>
          <w:rFonts w:hint="eastAsia" w:ascii="黑体" w:hAnsi="黑体" w:eastAsia="黑体"/>
          <w:sz w:val="32"/>
          <w:szCs w:val="32"/>
        </w:rPr>
        <w:t>第二部分   康平县小城子中心卫生院20</w:t>
      </w:r>
      <w:r>
        <w:rPr>
          <w:rFonts w:hint="eastAsia" w:ascii="黑体" w:hAnsi="黑体" w:eastAsia="黑体"/>
          <w:sz w:val="32"/>
          <w:szCs w:val="32"/>
          <w:lang w:val="en-US" w:eastAsia="zh-CN"/>
        </w:rPr>
        <w:t>20</w:t>
      </w:r>
      <w:r>
        <w:rPr>
          <w:rFonts w:hint="eastAsia" w:ascii="黑体" w:hAnsi="黑体" w:eastAsia="黑体"/>
          <w:sz w:val="32"/>
          <w:szCs w:val="32"/>
        </w:rPr>
        <w:t>年度部门决算报表</w:t>
      </w:r>
    </w:p>
    <w:p>
      <w:pPr>
        <w:spacing w:line="540" w:lineRule="exact"/>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hint="eastAsia" w:ascii="仿宋_GB2312" w:eastAsia="仿宋_GB2312"/>
          <w:sz w:val="32"/>
          <w:szCs w:val="32"/>
        </w:rPr>
      </w:pPr>
      <w:r>
        <w:rPr>
          <w:rFonts w:hint="eastAsia" w:ascii="仿宋_GB2312" w:eastAsia="仿宋_GB2312"/>
          <w:sz w:val="32"/>
          <w:szCs w:val="32"/>
        </w:rPr>
        <w:t>三、20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w:t>
      </w:r>
      <w:r>
        <w:rPr>
          <w:rFonts w:hint="eastAsia" w:ascii="仿宋_GB2312" w:hAnsi="仿宋" w:eastAsia="仿宋_GB2312"/>
          <w:sz w:val="32"/>
          <w:szCs w:val="32"/>
          <w:lang w:val="en-US" w:eastAsia="zh-CN"/>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w:t>
      </w:r>
      <w:r>
        <w:rPr>
          <w:rFonts w:hint="eastAsia" w:ascii="仿宋_GB2312" w:hAnsi="仿宋" w:eastAsia="仿宋_GB2312"/>
          <w:sz w:val="32"/>
          <w:szCs w:val="32"/>
          <w:lang w:val="en-US" w:eastAsia="zh-CN"/>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w:t>
      </w:r>
      <w:r>
        <w:rPr>
          <w:rFonts w:hint="eastAsia" w:ascii="仿宋_GB2312" w:hAnsi="仿宋" w:eastAsia="仿宋_GB2312"/>
          <w:sz w:val="32"/>
          <w:szCs w:val="32"/>
          <w:lang w:val="en-US" w:eastAsia="zh-CN"/>
        </w:rPr>
        <w:t>20</w:t>
      </w:r>
      <w:r>
        <w:rPr>
          <w:rFonts w:ascii="仿宋_GB2312" w:eastAsia="仿宋_GB2312"/>
          <w:sz w:val="32"/>
          <w:szCs w:val="32"/>
        </w:rPr>
        <w:t>年度政府性基金预算财政拨款收入支出决算表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lang w:val="en-US" w:eastAsia="zh-CN"/>
        </w:rPr>
        <w:t>九、2020年度国有资本经营预算财政拨款支出决算表</w:t>
      </w:r>
    </w:p>
    <w:p>
      <w:pPr>
        <w:spacing w:line="540" w:lineRule="exact"/>
        <w:rPr>
          <w:rFonts w:ascii="黑体" w:hAnsi="黑体" w:eastAsia="黑体"/>
          <w:sz w:val="32"/>
          <w:szCs w:val="32"/>
        </w:rPr>
      </w:pPr>
      <w:r>
        <w:rPr>
          <w:rFonts w:hint="eastAsia" w:ascii="黑体" w:hAnsi="黑体" w:eastAsia="黑体"/>
          <w:sz w:val="32"/>
          <w:szCs w:val="32"/>
        </w:rPr>
        <w:t>第三部分    康平县小城子中心卫生院20</w:t>
      </w:r>
      <w:r>
        <w:rPr>
          <w:rFonts w:hint="eastAsia" w:ascii="黑体" w:hAnsi="黑体" w:eastAsia="黑体"/>
          <w:sz w:val="32"/>
          <w:szCs w:val="32"/>
          <w:lang w:val="en-US" w:eastAsia="zh-CN"/>
        </w:rPr>
        <w:t>20</w:t>
      </w:r>
      <w:r>
        <w:rPr>
          <w:rFonts w:hint="eastAsia" w:ascii="黑体" w:hAnsi="黑体" w:eastAsia="黑体"/>
          <w:sz w:val="32"/>
          <w:szCs w:val="32"/>
        </w:rPr>
        <w:t>年度部门决算情况说明</w:t>
      </w:r>
    </w:p>
    <w:p>
      <w:pPr>
        <w:spacing w:line="540" w:lineRule="exact"/>
        <w:rPr>
          <w:rFonts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ascii="黑体" w:hAnsi="黑体" w:eastAsia="黑体"/>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ascii="黑体" w:eastAsia="黑体"/>
          <w:sz w:val="32"/>
          <w:szCs w:val="32"/>
        </w:rPr>
      </w:pPr>
    </w:p>
    <w:p>
      <w:pPr>
        <w:spacing w:line="540" w:lineRule="exact"/>
        <w:jc w:val="center"/>
        <w:rPr>
          <w:rFonts w:hint="eastAsia" w:ascii="黑体" w:eastAsia="黑体"/>
          <w:sz w:val="32"/>
          <w:szCs w:val="32"/>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r>
        <w:rPr>
          <w:rFonts w:hint="eastAsia" w:ascii="宋体" w:hAnsi="宋体"/>
          <w:b/>
          <w:sz w:val="36"/>
          <w:szCs w:val="36"/>
        </w:rPr>
        <w:t xml:space="preserve">第一部分 </w:t>
      </w:r>
      <w:r>
        <w:rPr>
          <w:rFonts w:hint="eastAsia" w:ascii="宋体" w:hAnsi="宋体" w:cs="宋体"/>
          <w:b/>
          <w:bCs/>
          <w:sz w:val="36"/>
          <w:szCs w:val="36"/>
        </w:rPr>
        <w:t>康平县小城子中心卫生院</w:t>
      </w:r>
      <w:r>
        <w:rPr>
          <w:rFonts w:hint="eastAsia" w:ascii="宋体" w:hAnsi="宋体"/>
          <w:b/>
          <w:sz w:val="36"/>
          <w:szCs w:val="36"/>
        </w:rPr>
        <w:t>概况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康平县小城子中心卫生院贯彻落实党中央关于卫生健康工作的方针政策和决策部署及县委有关要求，在履行职责过程中坚持和加强党对民政工作的集中统一领导。主要职责是:</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贯彻执行国家和省、市关于卫生和计划生育的相关规划、政策措施并监督实施；参与医药卫生体制改革；负责协调推进本辖区医疗保障，统筹规划本辖区卫生和计划生育服务资源配置。负责本辖区卫生和计划生育统计与信息工作。</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负责疾病预防控制工作，协调有关部门对重大疾病实施综合防控与干预，组织和指导本辖区突发公共卫生事件预防控制和各类突发公共事件的医疗卫生救援，依法报告和发布传染病疫情信息、突发公共卫生事件应急处置信息。</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（三）负责监督实施职责范围内的职业卫生、放射卫生、环境卫生、学校卫生、公共场所卫生、饮用水卫生管理规范和标准，制定相关政策措施，组织开展相关监测、调查、评估和监督，负责传染病防治监督。</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组织拟订并实施本辖区基层卫生和计划生育服务、妇幼卫生发展规划和政策措施，指导基层卫生和计划生育、妇幼卫生服务体系建设，推进基本公共卫生和计划生育服务均等化，完善基层运行新机制和乡村医生管理制度。</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（五）贯彻落实医疗机构和医疗服务全行业管理办法并监督实施，组织实施卫生专业技术人员执业规则和服务规范，建立医疗机构医疗服务评价和监督管理体系。</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（六）负责组织推进本辖区公立医院改革，建立公益性为导向的绩效考核和评价运行机制，建设和谐医患关系，提出基本医疗服务价格政策的建议。</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（七）组织实施国家药物政策、国家基本药物制度、国家基本药物目录及辽宁省药品增补目录，执行国家、省、市基本药物采购、配送、使用的管理制度，拟订本辖区有关政策措施。</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（八）贯彻落实国家、省生育政策。</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（九）组织推进计划生育利益导向和促进计划生育家庭</w:t>
      </w:r>
      <w:r>
        <w:rPr>
          <w:rFonts w:hint="eastAsia" w:ascii="仿宋_GB2312" w:hAnsi="仿宋_GB2312" w:eastAsia="仿宋_GB2312" w:cs="仿宋_GB2312"/>
          <w:sz w:val="32"/>
          <w:szCs w:val="32"/>
          <w:lang w:eastAsia="zh-CN"/>
        </w:rPr>
        <w:t>发</w:t>
      </w:r>
      <w:r>
        <w:rPr>
          <w:rFonts w:hint="eastAsia" w:ascii="仿宋_GB2312" w:hAnsi="仿宋_GB2312" w:eastAsia="仿宋_GB2312" w:cs="仿宋_GB2312"/>
          <w:sz w:val="32"/>
          <w:szCs w:val="32"/>
        </w:rPr>
        <w:t>展机制，组织实施国家、省、市、县计划生育奖励扶助、计划生育特殊困难家庭扶助等制度。</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（十）制定流动人口计划生育服务管理制度并组织落实，推动建立流动人口卫生和计划生育信息共享和公共服务工作机制。</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（十一）组织拟订本辖区卫生和计划生育人才发展规划，指导卫生和计划生育人才队伍建设，建立完善住院医师和专科医师规范化培训制度并组织实施。</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（十二）组织拟订本辖区卫生和计划</w:t>
      </w:r>
      <w:bookmarkStart w:id="0" w:name="_GoBack"/>
      <w:bookmarkEnd w:id="0"/>
      <w:r>
        <w:rPr>
          <w:rFonts w:hint="eastAsia" w:ascii="仿宋_GB2312" w:hAnsi="仿宋_GB2312" w:eastAsia="仿宋_GB2312" w:cs="仿宋_GB2312"/>
          <w:sz w:val="32"/>
          <w:szCs w:val="32"/>
        </w:rPr>
        <w:t>生育科技发展规划，组织开展毕业后医学教育和继续医学教育工作。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（十三）指导本辖区卫生和计划生育工作，完善综合监督执法体系，规范执法行为，监督检查法律法规和政策措施的落实，组织查处重大违法行为。监督落实计划生育目标管理责任制和计划生育一票否决制。</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（十四）负责卫生和计划生育宣传、健康教育、健康促进和信息化建设等工作，依法组织实施统计调查，参与本辖区人口基础信息库建设。</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（十五）拟订本辖区保健工作规划、政策并组织实施；承担重要会议和重大活动的医疗卫生保障工作。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（十六）承办县卫生健康局的其他事项。</w:t>
      </w:r>
    </w:p>
    <w:p>
      <w:pPr>
        <w:spacing w:line="540" w:lineRule="exact"/>
        <w:ind w:firstLine="800" w:firstLineChars="250"/>
        <w:jc w:val="left"/>
        <w:rPr>
          <w:rFonts w:hint="eastAsia" w:ascii="黑体" w:eastAsia="黑体"/>
          <w:sz w:val="32"/>
          <w:szCs w:val="32"/>
        </w:rPr>
      </w:pPr>
      <w:r>
        <w:rPr>
          <w:rFonts w:hint="eastAsia" w:ascii="黑体" w:eastAsia="黑体"/>
          <w:sz w:val="32"/>
          <w:szCs w:val="32"/>
        </w:rPr>
        <w:t>二、机构设置</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（一）办公室。</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负责组织协调院内各科室日常工作，协助院领导组织开展综合性调研。</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（二）财会科。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负责制定全院卫生事业发展的经济政策和卫生财会规章制度；会同有关部门监督管理医疗卫生服务价格；管理本单位会计事务。</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（三）防疫科。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负责制定全院疾病控制工作的防治规划和工作规范；负责疾病控制、卫生监督工作；负责全院公共卫生工作及村卫生室的监督管理工作；负责公共卫生服务项目等工作。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（四）安全生产科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负责全院安全生产管理工作，落实上级有关部门关于安全生产工作的有关决定、部署情况。</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（五）诊疗科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全县不符合法定条件多生育子女的案件处罚、立案及社会抚养费征收；计划生育特别扶助人员的认定及特别扶助金发放；独生子女父母退休补助费人员认定；符合再生育条件进行指标特指的人员认定及手续办理。</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（六）流动人口管理科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负责辖区内流动人口统计、公共卫生管理、流动人口计划生育管理工作。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（七）检验科。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负责全院各科室及公共卫生的相关检验工作。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（八）基本药品管理科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负责处理院内药品采购管理；负责基层医疗机构药品统一采购和管理工作；药局日常事务，村卫生室基本药品采购和发放工作。</w:t>
      </w:r>
    </w:p>
    <w:p>
      <w:pPr>
        <w:spacing w:line="540" w:lineRule="exact"/>
        <w:ind w:firstLine="640" w:firstLineChars="200"/>
        <w:jc w:val="left"/>
        <w:rPr>
          <w:rFonts w:hint="eastAsia" w:ascii="仿宋_GB2312" w:hAnsi="仿宋_GB2312" w:eastAsia="仿宋_GB2312" w:cs="仿宋_GB2312"/>
          <w:sz w:val="32"/>
          <w:szCs w:val="32"/>
        </w:rPr>
      </w:pPr>
    </w:p>
    <w:p>
      <w:pPr>
        <w:spacing w:line="540" w:lineRule="exact"/>
        <w:ind w:firstLine="640" w:firstLineChars="200"/>
        <w:jc w:val="left"/>
        <w:rPr>
          <w:rFonts w:ascii="仿宋_GB2312" w:hAnsi="仿宋_GB2312" w:eastAsia="仿宋_GB2312" w:cs="仿宋_GB2312"/>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numPr>
          <w:ilvl w:val="0"/>
          <w:numId w:val="2"/>
        </w:numPr>
        <w:spacing w:line="540" w:lineRule="exact"/>
        <w:ind w:firstLine="722" w:firstLineChars="200"/>
        <w:jc w:val="center"/>
        <w:rPr>
          <w:rFonts w:ascii="宋体" w:hAnsi="宋体"/>
          <w:b/>
          <w:sz w:val="36"/>
          <w:szCs w:val="36"/>
        </w:rPr>
      </w:pPr>
      <w:r>
        <w:rPr>
          <w:rFonts w:hint="eastAsia" w:ascii="宋体" w:hAnsi="宋体"/>
          <w:b/>
          <w:sz w:val="36"/>
          <w:szCs w:val="36"/>
        </w:rPr>
        <w:t>康平县小城子中心卫生院20</w:t>
      </w:r>
      <w:r>
        <w:rPr>
          <w:rFonts w:hint="eastAsia" w:ascii="宋体" w:hAnsi="宋体"/>
          <w:b/>
          <w:sz w:val="36"/>
          <w:szCs w:val="36"/>
          <w:lang w:val="en-US" w:eastAsia="zh-CN"/>
        </w:rPr>
        <w:t>20</w:t>
      </w:r>
      <w:r>
        <w:rPr>
          <w:rFonts w:hint="eastAsia" w:ascii="宋体" w:hAnsi="宋体"/>
          <w:b/>
          <w:sz w:val="36"/>
          <w:szCs w:val="36"/>
        </w:rPr>
        <w:t>年度部门决算情况说明</w:t>
      </w:r>
    </w:p>
    <w:p>
      <w:pPr>
        <w:spacing w:line="540" w:lineRule="exact"/>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（一）收入总计</w:t>
      </w:r>
      <w:r>
        <w:rPr>
          <w:rFonts w:hint="eastAsia" w:ascii="楷体_GB2312" w:hAnsi="宋体" w:eastAsia="楷体_GB2312"/>
          <w:b/>
          <w:sz w:val="32"/>
          <w:szCs w:val="32"/>
          <w:lang w:val="en-US" w:eastAsia="zh-CN"/>
        </w:rPr>
        <w:t>132.33</w:t>
      </w:r>
      <w:r>
        <w:rPr>
          <w:rFonts w:hint="eastAsia" w:ascii="楷体_GB2312" w:hAnsi="宋体" w:eastAsia="楷体_GB2312"/>
          <w:b/>
          <w:sz w:val="32"/>
          <w:szCs w:val="32"/>
        </w:rPr>
        <w:t>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1.财政拨款收入</w:t>
      </w:r>
      <w:r>
        <w:rPr>
          <w:rFonts w:hint="eastAsia" w:ascii="仿宋_GB2312" w:hAnsi="宋体" w:eastAsia="仿宋_GB2312"/>
          <w:sz w:val="32"/>
          <w:szCs w:val="32"/>
          <w:lang w:val="en-US" w:eastAsia="zh-CN"/>
        </w:rPr>
        <w:t>124.04</w:t>
      </w:r>
      <w:r>
        <w:rPr>
          <w:rFonts w:hint="eastAsia" w:ascii="仿宋_GB2312" w:hAnsi="宋体" w:eastAsia="仿宋_GB2312"/>
          <w:sz w:val="32"/>
          <w:szCs w:val="32"/>
        </w:rPr>
        <w:t>万元，占</w:t>
      </w:r>
      <w:r>
        <w:rPr>
          <w:rFonts w:ascii="仿宋_GB2312" w:hAnsi="宋体" w:eastAsia="仿宋_GB2312"/>
          <w:sz w:val="32"/>
          <w:szCs w:val="32"/>
        </w:rPr>
        <w:t>收入总计的</w:t>
      </w:r>
      <w:r>
        <w:rPr>
          <w:rFonts w:hint="eastAsia" w:ascii="仿宋_GB2312" w:hAnsi="宋体" w:eastAsia="仿宋_GB2312"/>
          <w:sz w:val="32"/>
          <w:szCs w:val="32"/>
          <w:lang w:val="en-US" w:eastAsia="zh-CN"/>
        </w:rPr>
        <w:t>93.73</w:t>
      </w:r>
      <w:r>
        <w:rPr>
          <w:rFonts w:ascii="仿宋_GB2312" w:hAnsi="宋体" w:eastAsia="仿宋_GB2312"/>
          <w:sz w:val="32"/>
          <w:szCs w:val="32"/>
        </w:rPr>
        <w:t>%</w:t>
      </w:r>
      <w:r>
        <w:rPr>
          <w:rFonts w:hint="eastAsia" w:ascii="仿宋_GB2312" w:hAnsi="宋体" w:eastAsia="仿宋_GB2312"/>
          <w:sz w:val="32"/>
          <w:szCs w:val="32"/>
        </w:rPr>
        <w:t>。其中：公共预算财政拨款收入</w:t>
      </w:r>
      <w:r>
        <w:rPr>
          <w:rFonts w:hint="eastAsia" w:ascii="仿宋_GB2312" w:hAnsi="宋体" w:eastAsia="仿宋_GB2312"/>
          <w:sz w:val="32"/>
          <w:szCs w:val="32"/>
          <w:lang w:val="en-US" w:eastAsia="zh-CN"/>
        </w:rPr>
        <w:t>124.04</w:t>
      </w:r>
      <w:r>
        <w:rPr>
          <w:rFonts w:hint="eastAsia" w:ascii="仿宋_GB2312" w:hAnsi="宋体" w:eastAsia="仿宋_GB2312"/>
          <w:sz w:val="32"/>
          <w:szCs w:val="32"/>
        </w:rPr>
        <w:t>万元，政府性基金收入0万元。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2.上级补助收入</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%。主要是</w:t>
      </w:r>
      <w:r>
        <w:rPr>
          <w:rFonts w:hint="eastAsia" w:ascii="仿宋_GB2312" w:hAnsi="宋体" w:eastAsia="仿宋_GB2312"/>
          <w:sz w:val="32"/>
          <w:szCs w:val="32"/>
          <w:lang w:val="en-US" w:eastAsia="zh-CN"/>
        </w:rPr>
        <w:t>无上级补助</w:t>
      </w:r>
      <w:r>
        <w:rPr>
          <w:rFonts w:hint="eastAsia" w:ascii="仿宋_GB2312" w:hAnsi="宋体" w:eastAsia="仿宋_GB2312"/>
          <w:sz w:val="32"/>
          <w:szCs w:val="32"/>
        </w:rPr>
        <w:t>收入。</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.事业收入</w:t>
      </w:r>
      <w:r>
        <w:rPr>
          <w:rFonts w:hint="eastAsia" w:ascii="仿宋_GB2312" w:hAnsi="宋体" w:eastAsia="仿宋_GB2312"/>
          <w:sz w:val="32"/>
          <w:szCs w:val="32"/>
          <w:lang w:val="en-US" w:eastAsia="zh-CN"/>
        </w:rPr>
        <w:t>8.29</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6.27</w:t>
      </w:r>
      <w:r>
        <w:rPr>
          <w:rFonts w:hint="eastAsia" w:ascii="仿宋_GB2312" w:hAnsi="宋体" w:eastAsia="仿宋_GB2312"/>
          <w:sz w:val="32"/>
          <w:szCs w:val="32"/>
        </w:rPr>
        <w:t>%。主要是医疗收入。</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4.经营收入</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%。主要是</w:t>
      </w:r>
      <w:r>
        <w:rPr>
          <w:rFonts w:hint="eastAsia" w:ascii="仿宋_GB2312" w:hAnsi="宋体" w:eastAsia="仿宋_GB2312"/>
          <w:sz w:val="30"/>
          <w:szCs w:val="30"/>
          <w:lang w:val="en-US" w:eastAsia="zh-CN"/>
        </w:rPr>
        <w:t>无经营</w:t>
      </w:r>
      <w:r>
        <w:rPr>
          <w:rFonts w:hint="eastAsia" w:ascii="仿宋_GB2312" w:hAnsi="宋体" w:eastAsia="仿宋_GB2312"/>
          <w:sz w:val="30"/>
          <w:szCs w:val="30"/>
        </w:rPr>
        <w:t>收入。</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5.附属单位上缴收入</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%。主要是</w:t>
      </w:r>
      <w:r>
        <w:rPr>
          <w:rFonts w:hint="eastAsia" w:ascii="仿宋_GB2312" w:hAnsi="宋体" w:eastAsia="仿宋_GB2312"/>
          <w:sz w:val="30"/>
          <w:szCs w:val="30"/>
          <w:lang w:val="en-US" w:eastAsia="zh-CN"/>
        </w:rPr>
        <w:t>上缴</w:t>
      </w:r>
      <w:r>
        <w:rPr>
          <w:rFonts w:hint="eastAsia" w:ascii="仿宋_GB2312" w:hAnsi="宋体" w:eastAsia="仿宋_GB2312"/>
          <w:sz w:val="30"/>
          <w:szCs w:val="30"/>
        </w:rPr>
        <w:t>收入。</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6.其他收入</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%。主要是</w:t>
      </w:r>
      <w:r>
        <w:rPr>
          <w:rFonts w:hint="eastAsia" w:ascii="仿宋_GB2312" w:hAnsi="宋体" w:eastAsia="仿宋_GB2312"/>
          <w:sz w:val="30"/>
          <w:szCs w:val="30"/>
          <w:lang w:val="en-US" w:eastAsia="zh-CN"/>
        </w:rPr>
        <w:t>无其他</w:t>
      </w:r>
      <w:r>
        <w:rPr>
          <w:rFonts w:hint="eastAsia" w:ascii="仿宋_GB2312" w:hAnsi="宋体" w:eastAsia="仿宋_GB2312"/>
          <w:sz w:val="30"/>
          <w:szCs w:val="30"/>
        </w:rPr>
        <w:t>收入。</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7.用事业基金弥补收支差额</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%。主要是</w:t>
      </w:r>
      <w:r>
        <w:rPr>
          <w:rFonts w:hint="eastAsia" w:ascii="仿宋_GB2312" w:hAnsi="宋体" w:eastAsia="仿宋_GB2312"/>
          <w:sz w:val="30"/>
          <w:szCs w:val="30"/>
          <w:lang w:val="en-US" w:eastAsia="zh-CN"/>
        </w:rPr>
        <w:t>无事业基金弥补收入</w:t>
      </w:r>
      <w:r>
        <w:rPr>
          <w:rFonts w:hint="eastAsia" w:ascii="仿宋_GB2312" w:hAnsi="宋体" w:eastAsia="仿宋_GB2312"/>
          <w:sz w:val="30"/>
          <w:szCs w:val="30"/>
        </w:rPr>
        <w:t>。</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8.上年结转和结余</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w:t>
      </w:r>
      <w:r>
        <w:rPr>
          <w:rFonts w:hint="eastAsia" w:ascii="仿宋_GB2312" w:hAnsi="宋体" w:eastAsia="仿宋_GB2312"/>
          <w:sz w:val="30"/>
          <w:szCs w:val="30"/>
          <w:lang w:val="en-US" w:eastAsia="zh-CN"/>
        </w:rPr>
        <w:t>无上年结转和结余</w:t>
      </w:r>
      <w:r>
        <w:rPr>
          <w:rFonts w:hint="eastAsia" w:ascii="仿宋_GB2312" w:hAnsi="宋体" w:eastAsia="仿宋_GB2312"/>
          <w:sz w:val="30"/>
          <w:szCs w:val="30"/>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与上年相比，今年收入减少</w:t>
      </w:r>
      <w:r>
        <w:rPr>
          <w:rFonts w:hint="eastAsia" w:ascii="仿宋_GB2312" w:hAnsi="宋体" w:eastAsia="仿宋_GB2312"/>
          <w:sz w:val="32"/>
          <w:szCs w:val="32"/>
          <w:lang w:val="en-US" w:eastAsia="zh-CN"/>
        </w:rPr>
        <w:t>159.27</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95.05</w:t>
      </w:r>
      <w:r>
        <w:rPr>
          <w:rFonts w:hint="eastAsia" w:ascii="仿宋_GB2312" w:hAnsi="宋体" w:eastAsia="仿宋_GB2312"/>
          <w:sz w:val="32"/>
          <w:szCs w:val="32"/>
        </w:rPr>
        <w:t>%，主要原因：</w:t>
      </w:r>
      <w:r>
        <w:rPr>
          <w:rFonts w:hint="eastAsia" w:ascii="黑体" w:hAnsi="黑体" w:eastAsia="黑体"/>
          <w:sz w:val="32"/>
          <w:szCs w:val="32"/>
        </w:rPr>
        <w:t>是</w:t>
      </w:r>
      <w:r>
        <w:rPr>
          <w:rFonts w:hint="eastAsia" w:ascii="仿宋_GB2312" w:hAnsi="宋体" w:eastAsia="仿宋_GB2312"/>
          <w:sz w:val="32"/>
          <w:szCs w:val="32"/>
        </w:rPr>
        <w:t>住院人数减少。</w:t>
      </w:r>
    </w:p>
    <w:p>
      <w:pPr>
        <w:spacing w:line="540" w:lineRule="exact"/>
        <w:ind w:firstLine="660"/>
        <w:rPr>
          <w:rFonts w:hint="eastAsia" w:ascii="仿宋_GB2312" w:hAnsi="宋体" w:eastAsia="仿宋_GB2312"/>
          <w:sz w:val="32"/>
          <w:szCs w:val="32"/>
        </w:rPr>
      </w:pP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（二）支出总计</w:t>
      </w:r>
      <w:r>
        <w:rPr>
          <w:rFonts w:hint="eastAsia" w:ascii="楷体_GB2312" w:hAnsi="宋体" w:eastAsia="楷体_GB2312"/>
          <w:b/>
          <w:sz w:val="32"/>
          <w:szCs w:val="32"/>
          <w:lang w:val="en-US" w:eastAsia="zh-CN"/>
        </w:rPr>
        <w:t>132.33</w:t>
      </w:r>
      <w:r>
        <w:rPr>
          <w:rFonts w:hint="eastAsia" w:ascii="楷体_GB2312" w:hAnsi="宋体" w:eastAsia="楷体_GB2312"/>
          <w:b/>
          <w:sz w:val="32"/>
          <w:szCs w:val="32"/>
        </w:rPr>
        <w:t>万元，包括：</w:t>
      </w:r>
    </w:p>
    <w:p>
      <w:pPr>
        <w:spacing w:line="540" w:lineRule="exact"/>
        <w:ind w:firstLine="660"/>
        <w:rPr>
          <w:rFonts w:hint="eastAsia" w:ascii="仿宋_GB2312" w:hAnsi="宋体" w:eastAsia="仿宋_GB2312"/>
          <w:sz w:val="32"/>
          <w:szCs w:val="32"/>
          <w:lang w:val="en-US" w:eastAsia="zh-CN"/>
        </w:rPr>
      </w:pPr>
      <w:r>
        <w:rPr>
          <w:rFonts w:hint="eastAsia" w:ascii="仿宋_GB2312" w:hAnsi="宋体" w:eastAsia="仿宋_GB2312"/>
          <w:sz w:val="32"/>
          <w:szCs w:val="32"/>
        </w:rPr>
        <w:t>1.基本支出</w:t>
      </w:r>
      <w:r>
        <w:rPr>
          <w:rFonts w:hint="eastAsia" w:ascii="仿宋_GB2312" w:hAnsi="宋体" w:eastAsia="仿宋_GB2312"/>
          <w:sz w:val="32"/>
          <w:szCs w:val="32"/>
          <w:lang w:val="en-US" w:eastAsia="zh-CN"/>
        </w:rPr>
        <w:t>132.33</w:t>
      </w:r>
      <w:r>
        <w:rPr>
          <w:rFonts w:hint="eastAsia" w:ascii="仿宋_GB2312" w:hAnsi="宋体" w:eastAsia="仿宋_GB2312"/>
          <w:sz w:val="32"/>
          <w:szCs w:val="32"/>
        </w:rPr>
        <w:t>万元，占支出总计的100%。主要是为保障机构正常运转、完成日常工作任务而发生的各项支出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其中：工资福利支出88.64万，对个人和家庭补助0.75万，</w:t>
      </w:r>
      <w:r>
        <w:rPr>
          <w:rFonts w:hint="eastAsia" w:ascii="仿宋_GB2312" w:hAnsi="宋体" w:eastAsia="仿宋_GB2312"/>
          <w:sz w:val="32"/>
          <w:szCs w:val="32"/>
        </w:rPr>
        <w:t>商品和服务支出</w:t>
      </w:r>
      <w:r>
        <w:rPr>
          <w:rFonts w:hint="eastAsia" w:ascii="仿宋_GB2312" w:hAnsi="宋体" w:eastAsia="仿宋_GB2312"/>
          <w:sz w:val="32"/>
          <w:szCs w:val="32"/>
          <w:lang w:val="en-US" w:eastAsia="zh-CN"/>
        </w:rPr>
        <w:t>42.94</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2.项目支出0万元，占支出总计的0%。主要</w:t>
      </w:r>
      <w:r>
        <w:rPr>
          <w:rFonts w:hint="eastAsia" w:ascii="仿宋_GB2312" w:hAnsi="宋体" w:eastAsia="仿宋_GB2312"/>
          <w:sz w:val="32"/>
          <w:szCs w:val="32"/>
          <w:lang w:val="en-US" w:eastAsia="zh-CN"/>
        </w:rPr>
        <w:t>无项目</w:t>
      </w:r>
      <w:r>
        <w:rPr>
          <w:rFonts w:hint="eastAsia" w:ascii="仿宋_GB2312" w:hAnsi="宋体" w:eastAsia="仿宋_GB2312"/>
          <w:sz w:val="32"/>
          <w:szCs w:val="32"/>
        </w:rPr>
        <w:t>业务支出。</w:t>
      </w:r>
    </w:p>
    <w:p>
      <w:pPr>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3.上缴上级支出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w:t>
      </w:r>
      <w:r>
        <w:rPr>
          <w:rFonts w:hint="eastAsia" w:ascii="仿宋_GB2312" w:hAnsi="宋体" w:eastAsia="仿宋_GB2312"/>
          <w:sz w:val="32"/>
          <w:szCs w:val="32"/>
          <w:lang w:val="en-US" w:eastAsia="zh-CN"/>
        </w:rPr>
        <w:t>无上缴上级</w:t>
      </w:r>
      <w:r>
        <w:rPr>
          <w:rFonts w:hint="eastAsia" w:ascii="仿宋_GB2312" w:hAnsi="宋体" w:eastAsia="仿宋_GB2312"/>
          <w:sz w:val="32"/>
          <w:szCs w:val="32"/>
        </w:rPr>
        <w:t>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w:t>
      </w:r>
      <w:r>
        <w:rPr>
          <w:rFonts w:hint="eastAsia" w:ascii="仿宋_GB2312" w:hAnsi="宋体" w:eastAsia="仿宋_GB2312"/>
          <w:sz w:val="32"/>
          <w:szCs w:val="32"/>
          <w:lang w:val="en-US" w:eastAsia="zh-CN"/>
        </w:rPr>
        <w:t>无经营</w:t>
      </w:r>
      <w:r>
        <w:rPr>
          <w:rFonts w:hint="eastAsia" w:ascii="仿宋_GB2312" w:hAnsi="宋体" w:eastAsia="仿宋_GB2312"/>
          <w:sz w:val="32"/>
          <w:szCs w:val="32"/>
        </w:rPr>
        <w:t>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5.对附属单位补助支出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%。主要包括</w:t>
      </w:r>
      <w:r>
        <w:rPr>
          <w:rFonts w:hint="eastAsia" w:ascii="仿宋_GB2312" w:hAnsi="宋体" w:eastAsia="仿宋_GB2312"/>
          <w:sz w:val="32"/>
          <w:szCs w:val="32"/>
          <w:lang w:val="en-US" w:eastAsia="zh-CN"/>
        </w:rPr>
        <w:t>对附属单位补助</w:t>
      </w:r>
      <w:r>
        <w:rPr>
          <w:rFonts w:hint="eastAsia" w:ascii="仿宋_GB2312" w:hAnsi="宋体" w:eastAsia="仿宋_GB2312"/>
          <w:sz w:val="32"/>
          <w:szCs w:val="32"/>
        </w:rPr>
        <w:t>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与上年相比，今年支出减少</w:t>
      </w:r>
      <w:r>
        <w:rPr>
          <w:rFonts w:hint="eastAsia" w:ascii="仿宋_GB2312" w:hAnsi="宋体" w:eastAsia="仿宋_GB2312"/>
          <w:sz w:val="32"/>
          <w:szCs w:val="32"/>
          <w:lang w:val="en-US" w:eastAsia="zh-CN"/>
        </w:rPr>
        <w:t>159.27</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95.05</w:t>
      </w:r>
      <w:r>
        <w:rPr>
          <w:rFonts w:hint="eastAsia" w:ascii="仿宋_GB2312" w:hAnsi="宋体" w:eastAsia="仿宋_GB2312"/>
          <w:sz w:val="32"/>
          <w:szCs w:val="32"/>
        </w:rPr>
        <w:t>%，主要原因：</w:t>
      </w:r>
      <w:r>
        <w:rPr>
          <w:rFonts w:hint="eastAsia" w:ascii="黑体" w:hAnsi="黑体" w:eastAsia="黑体"/>
          <w:sz w:val="32"/>
          <w:szCs w:val="32"/>
        </w:rPr>
        <w:t>一是</w:t>
      </w:r>
      <w:r>
        <w:rPr>
          <w:rFonts w:hint="eastAsia" w:ascii="仿宋_GB2312" w:hAnsi="宋体" w:eastAsia="仿宋_GB2312"/>
          <w:sz w:val="32"/>
          <w:szCs w:val="32"/>
        </w:rPr>
        <w:t>绩效工资减少；</w:t>
      </w:r>
      <w:r>
        <w:rPr>
          <w:rFonts w:hint="eastAsia" w:ascii="仿宋_GB2312" w:hAnsi="宋体" w:eastAsia="仿宋_GB2312"/>
          <w:b/>
          <w:bCs/>
          <w:sz w:val="32"/>
          <w:szCs w:val="32"/>
        </w:rPr>
        <w:t>二是</w:t>
      </w:r>
      <w:r>
        <w:rPr>
          <w:rFonts w:hint="eastAsia" w:ascii="仿宋_GB2312" w:hAnsi="宋体" w:eastAsia="仿宋_GB2312"/>
          <w:sz w:val="32"/>
          <w:szCs w:val="32"/>
        </w:rPr>
        <w:t>医疗成本支出减少。</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（三）年末结转和结余</w:t>
      </w:r>
      <w:r>
        <w:rPr>
          <w:rFonts w:hint="eastAsia" w:ascii="楷体_GB2312" w:hAnsi="宋体" w:eastAsia="楷体_GB2312"/>
          <w:b/>
          <w:sz w:val="32"/>
          <w:szCs w:val="32"/>
          <w:lang w:val="en-US" w:eastAsia="zh-CN"/>
        </w:rPr>
        <w:t>0</w:t>
      </w:r>
      <w:r>
        <w:rPr>
          <w:rFonts w:hint="eastAsia" w:ascii="楷体_GB2312" w:hAnsi="宋体" w:eastAsia="楷体_GB2312"/>
          <w:b/>
          <w:sz w:val="32"/>
          <w:szCs w:val="32"/>
        </w:rPr>
        <w:t>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lang w:val="en-US" w:eastAsia="zh-CN"/>
        </w:rPr>
        <w:t>本单位无年结转和</w:t>
      </w:r>
      <w:r>
        <w:rPr>
          <w:rFonts w:hint="eastAsia" w:ascii="仿宋_GB2312" w:hAnsi="宋体" w:eastAsia="仿宋_GB2312"/>
          <w:sz w:val="32"/>
          <w:szCs w:val="32"/>
        </w:rPr>
        <w:t>结余。与上年相比，今年结转结余增加（减少）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万元，增长（降低）</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%，主要原因：</w:t>
      </w:r>
      <w:r>
        <w:rPr>
          <w:rFonts w:hint="eastAsia" w:ascii="黑体" w:hAnsi="黑体" w:eastAsia="黑体"/>
          <w:sz w:val="32"/>
          <w:szCs w:val="32"/>
          <w:lang w:val="en-US" w:eastAsia="zh-CN"/>
        </w:rPr>
        <w:t>无</w:t>
      </w:r>
      <w:r>
        <w:rPr>
          <w:rFonts w:hint="eastAsia" w:ascii="仿宋_GB2312" w:hAnsi="宋体" w:eastAsia="仿宋_GB2312"/>
          <w:sz w:val="32"/>
          <w:szCs w:val="32"/>
        </w:rPr>
        <w:t>。</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年度财政拨款支出</w:t>
      </w:r>
      <w:r>
        <w:rPr>
          <w:rFonts w:hint="eastAsia" w:ascii="仿宋_GB2312" w:hAnsi="宋体" w:eastAsia="仿宋_GB2312"/>
          <w:sz w:val="32"/>
          <w:szCs w:val="32"/>
          <w:lang w:val="en-US" w:eastAsia="zh-CN"/>
        </w:rPr>
        <w:t>124.04</w:t>
      </w:r>
      <w:r>
        <w:rPr>
          <w:rFonts w:hint="eastAsia" w:ascii="仿宋_GB2312" w:hAnsi="宋体" w:eastAsia="仿宋_GB2312"/>
          <w:sz w:val="32"/>
          <w:szCs w:val="32"/>
        </w:rPr>
        <w:t>万元，其中：基本支出</w:t>
      </w:r>
      <w:r>
        <w:rPr>
          <w:rFonts w:hint="eastAsia" w:ascii="仿宋_GB2312" w:hAnsi="宋体" w:eastAsia="仿宋_GB2312"/>
          <w:sz w:val="32"/>
          <w:szCs w:val="32"/>
          <w:lang w:val="en-US" w:eastAsia="zh-CN"/>
        </w:rPr>
        <w:t>124.04</w:t>
      </w:r>
      <w:r>
        <w:rPr>
          <w:rFonts w:hint="eastAsia" w:ascii="仿宋_GB2312" w:hAnsi="宋体" w:eastAsia="仿宋_GB2312"/>
          <w:sz w:val="32"/>
          <w:szCs w:val="32"/>
        </w:rPr>
        <w:t>万元，项目支出0万元。与</w:t>
      </w:r>
      <w:r>
        <w:rPr>
          <w:rFonts w:ascii="仿宋_GB2312" w:hAnsi="宋体" w:eastAsia="仿宋_GB2312"/>
          <w:sz w:val="32"/>
          <w:szCs w:val="32"/>
        </w:rPr>
        <w:t>上年相比，</w:t>
      </w:r>
      <w:r>
        <w:rPr>
          <w:rFonts w:hint="eastAsia" w:ascii="仿宋_GB2312" w:hAnsi="宋体" w:eastAsia="仿宋_GB2312"/>
          <w:sz w:val="32"/>
          <w:szCs w:val="32"/>
        </w:rPr>
        <w:t>财政拨款支出</w:t>
      </w:r>
      <w:r>
        <w:rPr>
          <w:rFonts w:hint="eastAsia" w:ascii="仿宋_GB2312" w:hAnsi="宋体" w:eastAsia="仿宋_GB2312"/>
          <w:sz w:val="32"/>
          <w:szCs w:val="32"/>
          <w:lang w:val="en-US" w:eastAsia="zh-CN"/>
        </w:rPr>
        <w:t>增加</w:t>
      </w:r>
      <w:r>
        <w:rPr>
          <w:rFonts w:hint="eastAsia" w:ascii="仿宋_GB2312" w:hAnsi="宋体" w:eastAsia="仿宋_GB2312"/>
          <w:sz w:val="32"/>
          <w:szCs w:val="32"/>
        </w:rPr>
        <w:t>7</w:t>
      </w:r>
      <w:r>
        <w:rPr>
          <w:rFonts w:hint="eastAsia" w:ascii="仿宋_GB2312" w:hAnsi="宋体" w:eastAsia="仿宋_GB2312"/>
          <w:sz w:val="32"/>
          <w:szCs w:val="32"/>
          <w:lang w:val="en-US" w:eastAsia="zh-CN"/>
        </w:rPr>
        <w:t>.04</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6</w:t>
      </w:r>
      <w:r>
        <w:rPr>
          <w:rFonts w:hint="eastAsia" w:ascii="仿宋_GB2312" w:hAnsi="宋体" w:eastAsia="仿宋_GB2312"/>
          <w:sz w:val="32"/>
          <w:szCs w:val="32"/>
        </w:rPr>
        <w:t>%，主要原因：一是</w:t>
      </w:r>
      <w:r>
        <w:rPr>
          <w:rFonts w:hint="eastAsia" w:ascii="仿宋_GB2312" w:hAnsi="宋体" w:eastAsia="仿宋_GB2312"/>
          <w:sz w:val="32"/>
          <w:szCs w:val="32"/>
          <w:lang w:val="en-US" w:eastAsia="zh-CN"/>
        </w:rPr>
        <w:t>员工社保费增加</w:t>
      </w:r>
      <w:r>
        <w:rPr>
          <w:rFonts w:hint="eastAsia" w:ascii="仿宋_GB2312" w:hAnsi="宋体" w:eastAsia="仿宋_GB2312"/>
          <w:sz w:val="32"/>
          <w:szCs w:val="32"/>
        </w:rPr>
        <w:t>。与年初预算相比，20</w:t>
      </w:r>
      <w:r>
        <w:rPr>
          <w:rFonts w:hint="eastAsia" w:ascii="仿宋_GB2312" w:hAnsi="宋体" w:eastAsia="仿宋_GB2312"/>
          <w:sz w:val="32"/>
          <w:szCs w:val="32"/>
          <w:lang w:val="en-US" w:eastAsia="zh-CN"/>
        </w:rPr>
        <w:t>20</w:t>
      </w:r>
      <w:r>
        <w:rPr>
          <w:rFonts w:hint="eastAsia" w:ascii="仿宋_GB2312" w:hAnsi="宋体" w:eastAsia="仿宋_GB2312"/>
          <w:sz w:val="32"/>
          <w:szCs w:val="32"/>
        </w:rPr>
        <w:t>财政拨款支出完成年初预算的100%，其中：基本支出完成年初预算的100%，项目完成年初预算的0%。</w:t>
      </w:r>
    </w:p>
    <w:p>
      <w:pPr>
        <w:spacing w:line="540" w:lineRule="exact"/>
        <w:ind w:firstLine="660"/>
        <w:rPr>
          <w:rFonts w:ascii="黑体" w:hAnsi="黑体" w:eastAsia="黑体"/>
          <w:sz w:val="32"/>
          <w:szCs w:val="32"/>
        </w:rPr>
      </w:pPr>
      <w:r>
        <w:rPr>
          <w:rFonts w:hint="eastAsia" w:ascii="黑体" w:hAnsi="黑体" w:eastAsia="黑体"/>
          <w:sz w:val="32"/>
          <w:szCs w:val="32"/>
        </w:rPr>
        <w:t>三、一般公共预算财政拨款“三公”经费支出决算情况</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年度一般公共预算财政拨款安排的“三公”经费支出0万元，</w:t>
      </w:r>
      <w:r>
        <w:rPr>
          <w:rFonts w:hint="eastAsia" w:ascii="仿宋_GB2312" w:hAnsi="宋体" w:eastAsia="仿宋_GB2312"/>
          <w:sz w:val="32"/>
          <w:szCs w:val="32"/>
          <w:lang w:val="en-US" w:eastAsia="zh-CN"/>
        </w:rPr>
        <w:t>完成年初预算的0%。</w:t>
      </w:r>
      <w:r>
        <w:rPr>
          <w:rFonts w:hint="eastAsia" w:ascii="仿宋_GB2312" w:hAnsi="宋体" w:eastAsia="仿宋_GB2312"/>
          <w:sz w:val="32"/>
          <w:szCs w:val="32"/>
        </w:rPr>
        <w:t>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无三公经费支出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万元，公务用车购置及运行维护费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1.因公出国（境）费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年参加出国（境）团组</w:t>
      </w:r>
      <w:r>
        <w:rPr>
          <w:rFonts w:hint="eastAsia" w:ascii="仿宋_GB2312" w:hAnsi="宋体" w:eastAsia="仿宋_GB2312"/>
          <w:sz w:val="32"/>
          <w:szCs w:val="32"/>
          <w:lang w:val="en-US" w:eastAsia="zh-CN"/>
        </w:rPr>
        <w:t>0</w:t>
      </w:r>
      <w:r>
        <w:rPr>
          <w:rFonts w:hint="eastAsia" w:ascii="仿宋_GB2312" w:hAnsi="宋体" w:eastAsia="仿宋_GB2312"/>
          <w:sz w:val="32"/>
          <w:szCs w:val="32"/>
        </w:rPr>
        <w:t>个，累计</w:t>
      </w:r>
      <w:r>
        <w:rPr>
          <w:rFonts w:hint="eastAsia" w:ascii="仿宋_GB2312" w:hAnsi="宋体" w:eastAsia="仿宋_GB2312"/>
          <w:sz w:val="32"/>
          <w:szCs w:val="32"/>
          <w:lang w:val="en-US" w:eastAsia="zh-CN"/>
        </w:rPr>
        <w:t>0</w:t>
      </w:r>
      <w:r>
        <w:rPr>
          <w:rFonts w:hint="eastAsia" w:ascii="仿宋_GB2312" w:hAnsi="宋体" w:eastAsia="仿宋_GB2312"/>
          <w:sz w:val="32"/>
          <w:szCs w:val="32"/>
        </w:rPr>
        <w:t>人次。20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年因公出国（境）费比上年减少（增加）</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万元，下降（增长）</w:t>
      </w:r>
      <w:r>
        <w:rPr>
          <w:rFonts w:hint="eastAsia" w:ascii="仿宋_GB2312" w:hAnsi="宋体" w:eastAsia="仿宋_GB2312"/>
          <w:sz w:val="32"/>
          <w:szCs w:val="32"/>
          <w:lang w:val="en-US" w:eastAsia="zh-CN"/>
        </w:rPr>
        <w:t>0</w:t>
      </w:r>
      <w:r>
        <w:rPr>
          <w:rFonts w:hint="eastAsia" w:ascii="仿宋_GB2312" w:hAnsi="宋体" w:eastAsia="仿宋_GB2312"/>
          <w:sz w:val="32"/>
          <w:szCs w:val="32"/>
        </w:rPr>
        <w:t>%，本单位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年国内公务接待累计</w:t>
      </w:r>
      <w:r>
        <w:rPr>
          <w:rFonts w:hint="eastAsia" w:ascii="仿宋_GB2312" w:hAnsi="宋体" w:eastAsia="仿宋_GB2312"/>
          <w:sz w:val="32"/>
          <w:szCs w:val="32"/>
          <w:lang w:val="en-US" w:eastAsia="zh-CN"/>
        </w:rPr>
        <w:t>0</w:t>
      </w:r>
      <w:r>
        <w:rPr>
          <w:rFonts w:hint="eastAsia" w:ascii="仿宋_GB2312" w:hAnsi="宋体" w:eastAsia="仿宋_GB2312"/>
          <w:sz w:val="32"/>
          <w:szCs w:val="32"/>
        </w:rPr>
        <w:t>批次，</w:t>
      </w:r>
      <w:r>
        <w:rPr>
          <w:rFonts w:hint="eastAsia" w:ascii="仿宋_GB2312" w:hAnsi="宋体" w:eastAsia="仿宋_GB2312"/>
          <w:sz w:val="32"/>
          <w:szCs w:val="32"/>
          <w:lang w:val="en-US" w:eastAsia="zh-CN"/>
        </w:rPr>
        <w:t>0</w:t>
      </w:r>
      <w:r>
        <w:rPr>
          <w:rFonts w:hint="eastAsia" w:ascii="仿宋_GB2312" w:hAnsi="宋体" w:eastAsia="仿宋_GB2312"/>
          <w:sz w:val="32"/>
          <w:szCs w:val="32"/>
        </w:rPr>
        <w:t>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年公务接待费比上年减少（增加）</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公务用车购置及</w:t>
      </w:r>
      <w:r>
        <w:rPr>
          <w:rFonts w:ascii="仿宋_GB2312" w:hAnsi="宋体" w:eastAsia="仿宋_GB2312"/>
          <w:sz w:val="32"/>
          <w:szCs w:val="32"/>
        </w:rPr>
        <w:t>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万元，比上年减少（增加）</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万元，下降（增长）</w:t>
      </w:r>
      <w:r>
        <w:rPr>
          <w:rFonts w:hint="eastAsia" w:ascii="仿宋_GB2312" w:hAnsi="宋体" w:eastAsia="仿宋_GB2312"/>
          <w:sz w:val="32"/>
          <w:szCs w:val="32"/>
          <w:lang w:val="en-US" w:eastAsia="zh-CN"/>
        </w:rPr>
        <w:t>0</w:t>
      </w:r>
      <w:r>
        <w:rPr>
          <w:rFonts w:hint="eastAsia" w:ascii="仿宋_GB2312" w:hAnsi="宋体" w:eastAsia="仿宋_GB2312"/>
          <w:sz w:val="32"/>
          <w:szCs w:val="32"/>
        </w:rPr>
        <w:t>%，本单位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公务用车购置费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万元，当年购置公务用车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w:t>
      </w:r>
      <w:r>
        <w:rPr>
          <w:rFonts w:hint="eastAsia" w:ascii="仿宋_GB2312" w:hAnsi="宋体" w:eastAsia="仿宋_GB2312"/>
          <w:sz w:val="32"/>
          <w:szCs w:val="32"/>
          <w:lang w:eastAsia="zh-CN"/>
        </w:rPr>
        <w:t>，</w:t>
      </w:r>
      <w:r>
        <w:rPr>
          <w:rFonts w:hint="eastAsia" w:ascii="仿宋_GB2312" w:hAnsi="宋体" w:eastAsia="仿宋_GB2312"/>
          <w:sz w:val="32"/>
          <w:szCs w:val="32"/>
        </w:rPr>
        <w:t>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公务用车运行维护费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。截至年末使用</w:t>
      </w:r>
      <w:r>
        <w:rPr>
          <w:rFonts w:ascii="仿宋_GB2312" w:hAnsi="宋体" w:eastAsia="仿宋_GB2312"/>
          <w:sz w:val="32"/>
          <w:szCs w:val="32"/>
        </w:rPr>
        <w:t>一般公共预算财政拨款开支的</w:t>
      </w:r>
      <w:r>
        <w:rPr>
          <w:rFonts w:hint="eastAsia" w:ascii="仿宋_GB2312" w:hAnsi="宋体" w:eastAsia="仿宋_GB2312"/>
          <w:sz w:val="32"/>
          <w:szCs w:val="32"/>
        </w:rPr>
        <w:t>公务用车保有量</w:t>
      </w:r>
      <w:r>
        <w:rPr>
          <w:rFonts w:hint="eastAsia" w:ascii="仿宋_GB2312" w:hAnsi="宋体" w:eastAsia="仿宋_GB2312"/>
          <w:sz w:val="32"/>
          <w:szCs w:val="32"/>
          <w:lang w:val="en-US" w:eastAsia="zh-CN"/>
        </w:rPr>
        <w:t>0</w:t>
      </w:r>
      <w:r>
        <w:rPr>
          <w:rFonts w:hint="eastAsia" w:ascii="仿宋_GB2312" w:hAnsi="宋体" w:eastAsia="仿宋_GB2312"/>
          <w:sz w:val="32"/>
          <w:szCs w:val="32"/>
        </w:rPr>
        <w:t>辆。</w:t>
      </w:r>
    </w:p>
    <w:p>
      <w:pPr>
        <w:spacing w:line="540" w:lineRule="exact"/>
        <w:ind w:firstLine="645"/>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lang w:val="en-US" w:eastAsia="zh-CN"/>
        </w:rPr>
        <w:t>2020</w:t>
      </w:r>
      <w:r>
        <w:rPr>
          <w:rFonts w:hint="eastAsia" w:ascii="仿宋_GB2312" w:hAnsi="宋体" w:eastAsia="仿宋_GB2312"/>
          <w:sz w:val="32"/>
          <w:szCs w:val="32"/>
        </w:rPr>
        <w:t>年度一般公共预算财政拨款基本支出</w:t>
      </w:r>
      <w:r>
        <w:rPr>
          <w:rFonts w:hint="eastAsia" w:ascii="仿宋_GB2312" w:hAnsi="宋体" w:eastAsia="仿宋_GB2312"/>
          <w:sz w:val="32"/>
          <w:szCs w:val="32"/>
          <w:lang w:val="en-US" w:eastAsia="zh-CN"/>
        </w:rPr>
        <w:t>22.04</w:t>
      </w:r>
      <w:r>
        <w:rPr>
          <w:rFonts w:hint="eastAsia" w:ascii="仿宋_GB2312" w:hAnsi="宋体" w:eastAsia="仿宋_GB2312"/>
          <w:sz w:val="32"/>
          <w:szCs w:val="32"/>
        </w:rPr>
        <w:t>万元，其中：人员经费</w:t>
      </w:r>
      <w:r>
        <w:rPr>
          <w:rFonts w:hint="eastAsia" w:ascii="仿宋_GB2312" w:hAnsi="宋体" w:eastAsia="仿宋_GB2312"/>
          <w:sz w:val="32"/>
          <w:szCs w:val="32"/>
          <w:lang w:val="en-US" w:eastAsia="zh-CN"/>
        </w:rPr>
        <w:t>22.04</w:t>
      </w:r>
      <w:r>
        <w:rPr>
          <w:rFonts w:hint="eastAsia" w:ascii="仿宋_GB2312" w:hAnsi="宋体" w:eastAsia="仿宋_GB2312"/>
          <w:sz w:val="32"/>
          <w:szCs w:val="32"/>
        </w:rPr>
        <w:t>万元，主要包括基本工资、津贴补贴、奖金、其他社会保障缴费、机关事业单位基本养老保险缴费、其他工资福利支出、离休费、退休费、抚恤金、生活补助、奖励金、住房公积金、采暖补贴、其他对个人和家庭补助的支出；日常公用经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pPr>
        <w:spacing w:line="540" w:lineRule="exact"/>
        <w:ind w:firstLine="640" w:firstLineChars="200"/>
        <w:rPr>
          <w:rFonts w:ascii="黑体" w:hAnsi="黑体" w:eastAsia="黑体"/>
          <w:sz w:val="32"/>
          <w:szCs w:val="32"/>
        </w:rPr>
      </w:pPr>
      <w:r>
        <w:rPr>
          <w:rFonts w:hint="eastAsia" w:ascii="黑体" w:hAnsi="黑体" w:eastAsia="黑体"/>
          <w:sz w:val="32"/>
          <w:szCs w:val="32"/>
          <w:lang w:val="en-US" w:eastAsia="zh-CN"/>
        </w:rPr>
        <w:t>五</w:t>
      </w:r>
      <w:r>
        <w:rPr>
          <w:rFonts w:hint="eastAsia" w:ascii="黑体" w:hAnsi="黑体" w:eastAsia="黑体"/>
          <w:sz w:val="32"/>
          <w:szCs w:val="32"/>
        </w:rPr>
        <w:t>、其他重要事项的情况说明</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1120" w:firstLineChars="350"/>
        <w:rPr>
          <w:rFonts w:ascii="仿宋_GB2312" w:hAnsi="宋体" w:eastAsia="仿宋_GB2312"/>
          <w:sz w:val="32"/>
          <w:szCs w:val="32"/>
        </w:rPr>
      </w:pPr>
      <w:r>
        <w:rPr>
          <w:rFonts w:hint="eastAsia" w:ascii="仿宋_GB2312" w:hAnsi="宋体" w:eastAsia="仿宋_GB2312"/>
          <w:sz w:val="32"/>
          <w:szCs w:val="32"/>
        </w:rPr>
        <w:t>本单位为事业单位，无机关运行经费。</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0" w:firstLineChars="200"/>
        <w:rPr>
          <w:rFonts w:hint="eastAsia" w:ascii="仿宋_GB2312" w:eastAsia="仿宋_GB2312"/>
          <w:sz w:val="32"/>
          <w:szCs w:val="32"/>
        </w:rPr>
      </w:pPr>
      <w:r>
        <w:rPr>
          <w:rFonts w:hint="eastAsia" w:ascii="仿宋_GB2312" w:hAnsi="黑体" w:eastAsia="仿宋_GB2312"/>
          <w:sz w:val="32"/>
          <w:szCs w:val="32"/>
        </w:rPr>
        <w:t>20</w:t>
      </w:r>
      <w:r>
        <w:rPr>
          <w:rFonts w:hint="eastAsia" w:ascii="仿宋_GB2312" w:hAnsi="黑体" w:eastAsia="仿宋_GB2312"/>
          <w:sz w:val="32"/>
          <w:szCs w:val="32"/>
          <w:lang w:val="en-US" w:eastAsia="zh-CN"/>
        </w:rPr>
        <w:t>20</w:t>
      </w:r>
      <w:r>
        <w:rPr>
          <w:rFonts w:hint="eastAsia" w:ascii="仿宋_GB2312" w:hAnsi="黑体" w:eastAsia="仿宋_GB2312"/>
          <w:sz w:val="32"/>
          <w:szCs w:val="32"/>
        </w:rPr>
        <w:t>年</w:t>
      </w:r>
      <w:r>
        <w:rPr>
          <w:rFonts w:hint="eastAsia" w:ascii="仿宋_GB2312" w:hAnsi="黑体" w:eastAsia="仿宋_GB2312"/>
          <w:sz w:val="32"/>
          <w:szCs w:val="32"/>
          <w:lang w:val="en-US" w:eastAsia="zh-CN"/>
        </w:rPr>
        <w:t>本</w:t>
      </w:r>
      <w:r>
        <w:rPr>
          <w:rFonts w:hint="eastAsia" w:ascii="仿宋_GB2312" w:hAnsi="黑体" w:eastAsia="仿宋_GB2312"/>
          <w:sz w:val="32"/>
          <w:szCs w:val="32"/>
        </w:rPr>
        <w:t>单位政府采购支出总额</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万元，其中：政府采购货物支出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万元，政府采购工程支出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万元，政府采购服务支出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hint="eastAsia" w:ascii="仿宋_GB2312" w:eastAsia="仿宋_GB2312"/>
          <w:sz w:val="32"/>
          <w:szCs w:val="32"/>
        </w:rPr>
        <w:t>%。</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截至20</w:t>
      </w:r>
      <w:r>
        <w:rPr>
          <w:rFonts w:hint="eastAsia" w:ascii="仿宋_GB2312" w:hAnsi="黑体" w:eastAsia="仿宋_GB2312"/>
          <w:sz w:val="32"/>
          <w:szCs w:val="32"/>
          <w:lang w:val="en-US" w:eastAsia="zh-CN"/>
        </w:rPr>
        <w:t>20</w:t>
      </w:r>
      <w:r>
        <w:rPr>
          <w:rFonts w:hint="eastAsia" w:ascii="仿宋_GB2312" w:hAnsi="黑体" w:eastAsia="仿宋_GB2312"/>
          <w:sz w:val="32"/>
          <w:szCs w:val="32"/>
        </w:rPr>
        <w:t>年12月31日，本单位共有车辆0辆，其中：副省级以上领导干部用车0辆，主要</w:t>
      </w:r>
      <w:r>
        <w:rPr>
          <w:rFonts w:ascii="仿宋_GB2312" w:hAnsi="黑体" w:eastAsia="仿宋_GB2312"/>
          <w:sz w:val="32"/>
          <w:szCs w:val="32"/>
        </w:rPr>
        <w:t>领导干部</w:t>
      </w:r>
      <w:r>
        <w:rPr>
          <w:rFonts w:hint="eastAsia" w:ascii="仿宋_GB2312" w:hAnsi="黑体" w:eastAsia="仿宋_GB2312"/>
          <w:sz w:val="32"/>
          <w:szCs w:val="32"/>
        </w:rPr>
        <w:t>用车0辆，机要通讯用车0辆，应急</w:t>
      </w:r>
      <w:r>
        <w:rPr>
          <w:rFonts w:ascii="仿宋_GB2312" w:hAnsi="黑体" w:eastAsia="仿宋_GB2312"/>
          <w:sz w:val="32"/>
          <w:szCs w:val="32"/>
        </w:rPr>
        <w:t>保障用车</w:t>
      </w:r>
      <w:r>
        <w:rPr>
          <w:rFonts w:hint="eastAsia" w:ascii="仿宋_GB2312" w:hAnsi="黑体" w:eastAsia="仿宋_GB2312"/>
          <w:sz w:val="32"/>
          <w:szCs w:val="32"/>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特种专业技术用车0辆，离退休</w:t>
      </w:r>
      <w:r>
        <w:rPr>
          <w:rFonts w:ascii="仿宋_GB2312" w:hAnsi="黑体" w:eastAsia="仿宋_GB2312"/>
          <w:sz w:val="32"/>
          <w:szCs w:val="32"/>
        </w:rPr>
        <w:t>干部用车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其他用车0辆，；单位价值50万元以上通用设备0台（套），单价100万元以上专用设备0台（套）。</w:t>
      </w:r>
    </w:p>
    <w:p>
      <w:pPr>
        <w:spacing w:line="540" w:lineRule="exact"/>
        <w:ind w:firstLine="642" w:firstLineChars="200"/>
        <w:rPr>
          <w:rFonts w:ascii="楷体_GB2312" w:hAnsi="宋体" w:eastAsia="楷体_GB2312"/>
          <w:b/>
          <w:sz w:val="32"/>
          <w:szCs w:val="32"/>
        </w:rPr>
      </w:pPr>
      <w:r>
        <w:rPr>
          <w:rFonts w:hint="eastAsia" w:ascii="楷体_GB2312" w:hAnsi="宋体" w:eastAsia="楷体_GB2312"/>
          <w:b/>
          <w:sz w:val="32"/>
          <w:szCs w:val="32"/>
        </w:rPr>
        <w:t>（四）预算绩效管理工作开展情况。</w:t>
      </w:r>
    </w:p>
    <w:p>
      <w:pPr>
        <w:spacing w:line="540" w:lineRule="exact"/>
        <w:ind w:firstLine="640" w:firstLineChars="200"/>
        <w:rPr>
          <w:rFonts w:hint="eastAsia" w:ascii="仿宋_GB2312" w:hAnsi="宋体" w:eastAsia="仿宋_GB2312" w:cs="宋体"/>
          <w:sz w:val="32"/>
          <w:szCs w:val="32"/>
          <w:lang w:eastAsia="zh-CN"/>
        </w:rPr>
      </w:pPr>
      <w:r>
        <w:rPr>
          <w:rFonts w:hint="eastAsia" w:ascii="仿宋_GB2312" w:hAnsi="宋体" w:eastAsia="仿宋_GB2312" w:cs="宋体"/>
          <w:sz w:val="32"/>
          <w:szCs w:val="32"/>
        </w:rPr>
        <w:t>根据财政预算管理要求，我单位组织对20</w:t>
      </w:r>
      <w:r>
        <w:rPr>
          <w:rFonts w:hint="eastAsia" w:ascii="仿宋_GB2312" w:hAnsi="宋体" w:eastAsia="仿宋_GB2312" w:cs="宋体"/>
          <w:sz w:val="32"/>
          <w:szCs w:val="32"/>
          <w:lang w:val="en-US" w:eastAsia="zh-CN"/>
        </w:rPr>
        <w:t>20</w:t>
      </w:r>
      <w:r>
        <w:rPr>
          <w:rFonts w:hint="eastAsia" w:ascii="仿宋_GB2312" w:hAnsi="宋体" w:eastAsia="仿宋_GB2312" w:cs="宋体"/>
          <w:sz w:val="32"/>
          <w:szCs w:val="32"/>
        </w:rPr>
        <w:t>年度预算项目支出全面开展绩效自评，共涉及预算支出项目</w:t>
      </w:r>
      <w:r>
        <w:rPr>
          <w:rFonts w:hint="eastAsia" w:ascii="仿宋_GB2312" w:hAnsi="黑体" w:eastAsia="仿宋_GB2312"/>
          <w:sz w:val="32"/>
          <w:szCs w:val="32"/>
          <w:lang w:val="en-US" w:eastAsia="zh-CN"/>
        </w:rPr>
        <w:t>0</w:t>
      </w:r>
      <w:r>
        <w:rPr>
          <w:rFonts w:hint="eastAsia" w:ascii="仿宋_GB2312" w:hAnsi="宋体" w:eastAsia="仿宋_GB2312" w:cs="宋体"/>
          <w:sz w:val="32"/>
          <w:szCs w:val="32"/>
        </w:rPr>
        <w:t>个，涉及资金</w:t>
      </w:r>
      <w:r>
        <w:rPr>
          <w:rFonts w:hint="eastAsia" w:ascii="仿宋_GB2312" w:hAnsi="黑体" w:eastAsia="仿宋_GB2312"/>
          <w:sz w:val="32"/>
          <w:szCs w:val="32"/>
          <w:lang w:val="en-US" w:eastAsia="zh-CN"/>
        </w:rPr>
        <w:t>0</w:t>
      </w:r>
      <w:r>
        <w:rPr>
          <w:rFonts w:hint="eastAsia" w:ascii="仿宋_GB2312" w:hAnsi="宋体" w:eastAsia="仿宋_GB2312" w:cs="宋体"/>
          <w:sz w:val="32"/>
          <w:szCs w:val="32"/>
        </w:rPr>
        <w:t>万元</w:t>
      </w:r>
      <w:r>
        <w:rPr>
          <w:rFonts w:hint="eastAsia" w:ascii="仿宋_GB2312" w:hAnsi="宋体" w:eastAsia="仿宋_GB2312" w:cs="宋体"/>
          <w:sz w:val="32"/>
          <w:szCs w:val="32"/>
          <w:lang w:eastAsia="zh-CN"/>
        </w:rPr>
        <w:t>。</w:t>
      </w: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default" w:ascii="仿宋_GB2312" w:hAnsi="宋体" w:eastAsia="仿宋_GB2312" w:cs="宋体"/>
          <w:sz w:val="32"/>
          <w:szCs w:val="32"/>
          <w:lang w:val="en-US" w:eastAsia="zh-CN"/>
        </w:rPr>
      </w:pPr>
      <w:r>
        <w:rPr>
          <w:rFonts w:hint="eastAsia" w:ascii="仿宋_GB2312" w:hAnsi="宋体" w:eastAsia="仿宋_GB2312" w:cs="宋体"/>
          <w:sz w:val="32"/>
          <w:szCs w:val="32"/>
        </w:rPr>
        <w:t>通过绩效自评发现预算项目管理主要存在以下问题：</w:t>
      </w:r>
      <w:r>
        <w:rPr>
          <w:rFonts w:hint="eastAsia" w:ascii="黑体" w:hAnsi="黑体" w:eastAsia="黑体" w:cs="宋体"/>
          <w:sz w:val="32"/>
          <w:szCs w:val="32"/>
          <w:lang w:val="en-US" w:eastAsia="zh-CN"/>
        </w:rPr>
        <w:t>本单位无预算项目支出不涉及此项。</w:t>
      </w: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ascii="仿宋_GB2312" w:hAnsi="宋体" w:eastAsia="仿宋_GB2312" w:cs="宋体"/>
          <w:sz w:val="32"/>
          <w:szCs w:val="32"/>
        </w:rPr>
      </w:pP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2"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2"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rPr>
          <w:rFonts w:hint="eastAsia" w:ascii="仿宋_GB2312" w:eastAsia="仿宋_GB2312"/>
          <w:b/>
          <w:sz w:val="32"/>
          <w:szCs w:val="32"/>
        </w:rPr>
      </w:pPr>
      <w:r>
        <w:rPr>
          <w:rFonts w:hint="eastAsia" w:ascii="仿宋_GB2312" w:eastAsia="仿宋_GB2312"/>
          <w:i/>
          <w:sz w:val="32"/>
          <w:szCs w:val="32"/>
          <w:u w:val="single"/>
        </w:rPr>
        <w:t>（部门决算涉及的支出功能分类全部项级科目，逐一解释）……</w:t>
      </w:r>
    </w:p>
    <w:p>
      <w:pPr>
        <w:spacing w:line="540" w:lineRule="exact"/>
        <w:rPr>
          <w:rFonts w:hint="eastAsia"/>
          <w:sz w:val="32"/>
          <w:szCs w:val="32"/>
        </w:rPr>
        <w:sectPr>
          <w:footerReference r:id="rId3" w:type="default"/>
          <w:footerReference r:id="rId4" w:type="even"/>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hint="eastAsia" w:ascii="仿宋_GB2312" w:eastAsia="仿宋_GB2312"/>
          <w:i/>
          <w:sz w:val="32"/>
          <w:szCs w:val="32"/>
          <w:u w:val="single"/>
        </w:rPr>
      </w:pPr>
    </w:p>
    <w:p>
      <w:pPr>
        <w:spacing w:line="540" w:lineRule="exact"/>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hint="eastAsia" w:ascii="仿宋_GB2312" w:eastAsia="仿宋_GB2312"/>
          <w:sz w:val="52"/>
          <w:szCs w:val="52"/>
        </w:rPr>
      </w:pPr>
      <w:r>
        <w:rPr>
          <w:rFonts w:hint="eastAsia" w:ascii="宋体" w:hAnsi="宋体"/>
          <w:b/>
          <w:sz w:val="52"/>
          <w:szCs w:val="52"/>
        </w:rPr>
        <w:t>第二部分 康平县小城子中心卫生院20</w:t>
      </w:r>
      <w:r>
        <w:rPr>
          <w:rFonts w:hint="eastAsia" w:ascii="宋体" w:hAnsi="宋体"/>
          <w:b/>
          <w:sz w:val="52"/>
          <w:szCs w:val="52"/>
          <w:lang w:val="en-US" w:eastAsia="zh-CN"/>
        </w:rPr>
        <w:t>20</w:t>
      </w:r>
      <w:r>
        <w:rPr>
          <w:rFonts w:hint="eastAsia" w:ascii="宋体" w:hAnsi="宋体"/>
          <w:b/>
          <w:sz w:val="52"/>
          <w:szCs w:val="52"/>
        </w:rPr>
        <w:t>年度部门决算表</w:t>
      </w:r>
    </w:p>
    <w:p>
      <w:pPr>
        <w:spacing w:line="540" w:lineRule="exact"/>
        <w:jc w:val="left"/>
        <w:rPr>
          <w:rFonts w:hint="eastAsia"/>
          <w:sz w:val="32"/>
          <w:szCs w:val="32"/>
        </w:rPr>
      </w:pPr>
    </w:p>
    <w:p>
      <w:pPr>
        <w:spacing w:line="540" w:lineRule="exact"/>
        <w:rPr>
          <w:rFonts w:hint="default" w:eastAsia="宋体"/>
          <w:sz w:val="28"/>
          <w:szCs w:val="28"/>
          <w:lang w:val="en-US" w:eastAsia="zh-CN"/>
        </w:rPr>
      </w:pPr>
      <w:r>
        <w:rPr>
          <w:rFonts w:hint="eastAsia"/>
          <w:sz w:val="28"/>
          <w:szCs w:val="28"/>
          <w:lang w:val="en-US" w:eastAsia="zh-CN"/>
        </w:rPr>
        <w:t>附公开表</w:t>
      </w:r>
    </w:p>
    <w:sectPr>
      <w:pgSz w:w="16838" w:h="11906" w:orient="landscape"/>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Fonts w:hint="eastAsia"/>
      </w:rPr>
    </w:pPr>
    <w:r>
      <w:fldChar w:fldCharType="begin"/>
    </w:r>
    <w:r>
      <w:rPr>
        <w:rStyle w:val="7"/>
      </w:rPr>
      <w:instrText xml:space="preserve">PAGE  </w:instrText>
    </w:r>
    <w:r>
      <w:fldChar w:fldCharType="separate"/>
    </w:r>
    <w:r>
      <w:rPr>
        <w:rStyle w:val="7"/>
        <w:rFonts w:hint="eastAsia"/>
      </w:rPr>
      <w:t>10</w:t>
    </w:r>
    <w:r>
      <w:fldChar w:fldCharType="end"/>
    </w:r>
  </w:p>
  <w:p>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Fonts w:hint="eastAsia"/>
      </w:rPr>
    </w:pPr>
    <w:r>
      <w:fldChar w:fldCharType="begin"/>
    </w:r>
    <w:r>
      <w:rPr>
        <w:rStyle w:val="7"/>
      </w:rPr>
      <w:instrText xml:space="preserve">PAGE  </w:instrText>
    </w:r>
    <w:r>
      <w:fldChar w:fldCharType="end"/>
    </w:r>
  </w:p>
  <w:p>
    <w:pPr>
      <w:pStyle w:val="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245D3"/>
    <w:multiLevelType w:val="singleLevel"/>
    <w:tmpl w:val="13B245D3"/>
    <w:lvl w:ilvl="0" w:tentative="0">
      <w:start w:val="3"/>
      <w:numFmt w:val="chineseCounting"/>
      <w:suff w:val="space"/>
      <w:lvlText w:val="第%1部分"/>
      <w:lvlJc w:val="left"/>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E62AD"/>
    <w:rsid w:val="00011375"/>
    <w:rsid w:val="00032E9E"/>
    <w:rsid w:val="000372DF"/>
    <w:rsid w:val="0005667B"/>
    <w:rsid w:val="00060115"/>
    <w:rsid w:val="000658A3"/>
    <w:rsid w:val="00072D02"/>
    <w:rsid w:val="000B3DEA"/>
    <w:rsid w:val="000B6122"/>
    <w:rsid w:val="000D22BA"/>
    <w:rsid w:val="000D240A"/>
    <w:rsid w:val="000E2475"/>
    <w:rsid w:val="000F765E"/>
    <w:rsid w:val="001032C2"/>
    <w:rsid w:val="00104E80"/>
    <w:rsid w:val="00151E7C"/>
    <w:rsid w:val="00163B6F"/>
    <w:rsid w:val="00180967"/>
    <w:rsid w:val="00180B70"/>
    <w:rsid w:val="00193B86"/>
    <w:rsid w:val="00197AF9"/>
    <w:rsid w:val="001C1C90"/>
    <w:rsid w:val="001C3664"/>
    <w:rsid w:val="001C6690"/>
    <w:rsid w:val="001C71DE"/>
    <w:rsid w:val="001D2A6F"/>
    <w:rsid w:val="001E08A3"/>
    <w:rsid w:val="001E4687"/>
    <w:rsid w:val="001F06E5"/>
    <w:rsid w:val="001F4827"/>
    <w:rsid w:val="00204B16"/>
    <w:rsid w:val="00207D64"/>
    <w:rsid w:val="0022212D"/>
    <w:rsid w:val="002229FC"/>
    <w:rsid w:val="0028081F"/>
    <w:rsid w:val="0028468A"/>
    <w:rsid w:val="00290AFF"/>
    <w:rsid w:val="002B0ED2"/>
    <w:rsid w:val="002F06AC"/>
    <w:rsid w:val="00306E33"/>
    <w:rsid w:val="003203A0"/>
    <w:rsid w:val="003203C6"/>
    <w:rsid w:val="00321141"/>
    <w:rsid w:val="00323084"/>
    <w:rsid w:val="00332D2F"/>
    <w:rsid w:val="00336596"/>
    <w:rsid w:val="0035450D"/>
    <w:rsid w:val="00367CAA"/>
    <w:rsid w:val="00375438"/>
    <w:rsid w:val="003843E9"/>
    <w:rsid w:val="00387D22"/>
    <w:rsid w:val="00393A92"/>
    <w:rsid w:val="003B6717"/>
    <w:rsid w:val="003F6668"/>
    <w:rsid w:val="003F6BEE"/>
    <w:rsid w:val="004041E3"/>
    <w:rsid w:val="00404E0A"/>
    <w:rsid w:val="00411F62"/>
    <w:rsid w:val="00412DAF"/>
    <w:rsid w:val="00415E0F"/>
    <w:rsid w:val="00456D37"/>
    <w:rsid w:val="004732D7"/>
    <w:rsid w:val="004A23C9"/>
    <w:rsid w:val="004A327E"/>
    <w:rsid w:val="004B0299"/>
    <w:rsid w:val="004D61EA"/>
    <w:rsid w:val="004F2A87"/>
    <w:rsid w:val="0050710B"/>
    <w:rsid w:val="005116A6"/>
    <w:rsid w:val="00524803"/>
    <w:rsid w:val="00526EDB"/>
    <w:rsid w:val="00534C2B"/>
    <w:rsid w:val="00561F4D"/>
    <w:rsid w:val="00564067"/>
    <w:rsid w:val="00593321"/>
    <w:rsid w:val="005948B6"/>
    <w:rsid w:val="005A3448"/>
    <w:rsid w:val="005D376B"/>
    <w:rsid w:val="005D57A0"/>
    <w:rsid w:val="00604DF5"/>
    <w:rsid w:val="00631CB0"/>
    <w:rsid w:val="006444D8"/>
    <w:rsid w:val="006459D8"/>
    <w:rsid w:val="00662644"/>
    <w:rsid w:val="006644B5"/>
    <w:rsid w:val="00671A28"/>
    <w:rsid w:val="00691121"/>
    <w:rsid w:val="006A684B"/>
    <w:rsid w:val="006E587F"/>
    <w:rsid w:val="006E68E1"/>
    <w:rsid w:val="007121E9"/>
    <w:rsid w:val="00726A72"/>
    <w:rsid w:val="007302F8"/>
    <w:rsid w:val="00750153"/>
    <w:rsid w:val="0078023E"/>
    <w:rsid w:val="00780DF3"/>
    <w:rsid w:val="007B04F4"/>
    <w:rsid w:val="007B6B61"/>
    <w:rsid w:val="007C52D7"/>
    <w:rsid w:val="007D27D8"/>
    <w:rsid w:val="007D2BBC"/>
    <w:rsid w:val="007D6F23"/>
    <w:rsid w:val="007E29F5"/>
    <w:rsid w:val="007E5051"/>
    <w:rsid w:val="007E7717"/>
    <w:rsid w:val="007F2DFA"/>
    <w:rsid w:val="008137CD"/>
    <w:rsid w:val="00822085"/>
    <w:rsid w:val="00822199"/>
    <w:rsid w:val="00857EE3"/>
    <w:rsid w:val="00872D1D"/>
    <w:rsid w:val="00881DD9"/>
    <w:rsid w:val="00884AC9"/>
    <w:rsid w:val="0089145A"/>
    <w:rsid w:val="00894620"/>
    <w:rsid w:val="008B2CFC"/>
    <w:rsid w:val="008B3CCB"/>
    <w:rsid w:val="008C3717"/>
    <w:rsid w:val="008D1604"/>
    <w:rsid w:val="008F7276"/>
    <w:rsid w:val="009153E0"/>
    <w:rsid w:val="00936C75"/>
    <w:rsid w:val="00985733"/>
    <w:rsid w:val="00986EB2"/>
    <w:rsid w:val="009B4D1E"/>
    <w:rsid w:val="009B79E2"/>
    <w:rsid w:val="009E1F36"/>
    <w:rsid w:val="009E38FF"/>
    <w:rsid w:val="009E4E30"/>
    <w:rsid w:val="009F0A40"/>
    <w:rsid w:val="009F2380"/>
    <w:rsid w:val="00A0483E"/>
    <w:rsid w:val="00A7262F"/>
    <w:rsid w:val="00A80804"/>
    <w:rsid w:val="00AB4DD1"/>
    <w:rsid w:val="00AD04B4"/>
    <w:rsid w:val="00AE171A"/>
    <w:rsid w:val="00AF3E3D"/>
    <w:rsid w:val="00AF5725"/>
    <w:rsid w:val="00B13FB0"/>
    <w:rsid w:val="00B515A4"/>
    <w:rsid w:val="00B70A86"/>
    <w:rsid w:val="00B73101"/>
    <w:rsid w:val="00B74E1E"/>
    <w:rsid w:val="00B869C4"/>
    <w:rsid w:val="00BB3AF8"/>
    <w:rsid w:val="00BD0675"/>
    <w:rsid w:val="00BE4E88"/>
    <w:rsid w:val="00BE62AD"/>
    <w:rsid w:val="00BF04D3"/>
    <w:rsid w:val="00BF3D70"/>
    <w:rsid w:val="00BF60B9"/>
    <w:rsid w:val="00C102DC"/>
    <w:rsid w:val="00C30DAE"/>
    <w:rsid w:val="00C30E2D"/>
    <w:rsid w:val="00C524CB"/>
    <w:rsid w:val="00C52BC7"/>
    <w:rsid w:val="00C63AF4"/>
    <w:rsid w:val="00C70C71"/>
    <w:rsid w:val="00C83E30"/>
    <w:rsid w:val="00C9510A"/>
    <w:rsid w:val="00CA2F0D"/>
    <w:rsid w:val="00CA64DE"/>
    <w:rsid w:val="00CB5AB6"/>
    <w:rsid w:val="00CD5373"/>
    <w:rsid w:val="00CD5DF2"/>
    <w:rsid w:val="00CD6864"/>
    <w:rsid w:val="00CD6878"/>
    <w:rsid w:val="00CD6DCF"/>
    <w:rsid w:val="00CE6EE4"/>
    <w:rsid w:val="00CF12E5"/>
    <w:rsid w:val="00D60970"/>
    <w:rsid w:val="00D67601"/>
    <w:rsid w:val="00D7682F"/>
    <w:rsid w:val="00D93016"/>
    <w:rsid w:val="00DB5F6B"/>
    <w:rsid w:val="00DF3E8C"/>
    <w:rsid w:val="00E029F0"/>
    <w:rsid w:val="00E1096F"/>
    <w:rsid w:val="00E116D7"/>
    <w:rsid w:val="00E20F61"/>
    <w:rsid w:val="00E30744"/>
    <w:rsid w:val="00E36863"/>
    <w:rsid w:val="00E51358"/>
    <w:rsid w:val="00E632F0"/>
    <w:rsid w:val="00E73F31"/>
    <w:rsid w:val="00E93FAF"/>
    <w:rsid w:val="00EA177D"/>
    <w:rsid w:val="00EB6D7D"/>
    <w:rsid w:val="00EC0480"/>
    <w:rsid w:val="00EE1982"/>
    <w:rsid w:val="00EE28BB"/>
    <w:rsid w:val="00EE7AA1"/>
    <w:rsid w:val="00F12957"/>
    <w:rsid w:val="00F24450"/>
    <w:rsid w:val="00F54C5F"/>
    <w:rsid w:val="00F55490"/>
    <w:rsid w:val="00F622B4"/>
    <w:rsid w:val="00F65298"/>
    <w:rsid w:val="00F7088D"/>
    <w:rsid w:val="00F72460"/>
    <w:rsid w:val="00F77B80"/>
    <w:rsid w:val="00F93076"/>
    <w:rsid w:val="00F932BE"/>
    <w:rsid w:val="00FB7735"/>
    <w:rsid w:val="00FE3E9D"/>
    <w:rsid w:val="04B90CA5"/>
    <w:rsid w:val="059A295B"/>
    <w:rsid w:val="097C225D"/>
    <w:rsid w:val="12B43D63"/>
    <w:rsid w:val="14C77B87"/>
    <w:rsid w:val="151E0113"/>
    <w:rsid w:val="153364E3"/>
    <w:rsid w:val="1D951E4F"/>
    <w:rsid w:val="1E8F141E"/>
    <w:rsid w:val="25E602ED"/>
    <w:rsid w:val="263968E3"/>
    <w:rsid w:val="2C0D1861"/>
    <w:rsid w:val="2C3D1177"/>
    <w:rsid w:val="2D9C15CC"/>
    <w:rsid w:val="2EAC1150"/>
    <w:rsid w:val="2EE811AD"/>
    <w:rsid w:val="30592D02"/>
    <w:rsid w:val="377331FA"/>
    <w:rsid w:val="399B02B4"/>
    <w:rsid w:val="3D843F55"/>
    <w:rsid w:val="408E6352"/>
    <w:rsid w:val="40CD42FE"/>
    <w:rsid w:val="4A5D44CA"/>
    <w:rsid w:val="4A5E4CE6"/>
    <w:rsid w:val="54591CA0"/>
    <w:rsid w:val="5742351C"/>
    <w:rsid w:val="5B230DA8"/>
    <w:rsid w:val="5FAE4E63"/>
    <w:rsid w:val="5FE91CAC"/>
    <w:rsid w:val="64BC5AF9"/>
    <w:rsid w:val="661C56EE"/>
    <w:rsid w:val="664B67D7"/>
    <w:rsid w:val="66EF0B32"/>
    <w:rsid w:val="67E65950"/>
    <w:rsid w:val="6866018B"/>
    <w:rsid w:val="691A72AB"/>
    <w:rsid w:val="6A2532E2"/>
    <w:rsid w:val="6BB86C5C"/>
    <w:rsid w:val="6C742748"/>
    <w:rsid w:val="6C932262"/>
    <w:rsid w:val="6E2E70AD"/>
    <w:rsid w:val="6E6E41B8"/>
    <w:rsid w:val="6F1153E3"/>
    <w:rsid w:val="6F7F0303"/>
    <w:rsid w:val="74CC0E58"/>
    <w:rsid w:val="7B96605F"/>
    <w:rsid w:val="7D843944"/>
    <w:rsid w:val="7E9A5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styleId="8">
    <w:name w:val="Hyperlink"/>
    <w:basedOn w:val="6"/>
    <w:qFormat/>
    <w:uiPriority w:val="0"/>
    <w:rPr>
      <w:color w:val="0000FF"/>
      <w:u w:val="single"/>
    </w:rPr>
  </w:style>
  <w:style w:type="character" w:customStyle="1" w:styleId="9">
    <w:name w:val="批注框文本 Char"/>
    <w:link w:val="2"/>
    <w:qFormat/>
    <w:uiPriority w:val="0"/>
    <w:rPr>
      <w:kern w:val="2"/>
      <w:sz w:val="18"/>
      <w:szCs w:val="18"/>
    </w:rPr>
  </w:style>
  <w:style w:type="character" w:customStyle="1" w:styleId="10">
    <w:name w:val="页眉 Char"/>
    <w:link w:val="4"/>
    <w:qFormat/>
    <w:uiPriority w:val="0"/>
    <w:rPr>
      <w:kern w:val="2"/>
      <w:sz w:val="18"/>
      <w:szCs w:val="18"/>
    </w:rPr>
  </w:style>
  <w:style w:type="paragraph" w:customStyle="1" w:styleId="11">
    <w:name w:val="Char"/>
    <w:basedOn w:val="1"/>
    <w:qFormat/>
    <w:uiPriority w:val="0"/>
    <w:pPr>
      <w:widowControl/>
      <w:jc w:val="left"/>
    </w:pPr>
    <w:rPr>
      <w:rFonts w:ascii="Verdana" w:hAnsi="Verdana" w:eastAsia="仿宋_GB2312"/>
      <w:kern w:val="0"/>
      <w:sz w:val="28"/>
      <w:szCs w:val="20"/>
      <w:lang w:eastAsia="en-US"/>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581</Words>
  <Characters>3314</Characters>
  <Lines>27</Lines>
  <Paragraphs>7</Paragraphs>
  <TotalTime>3</TotalTime>
  <ScaleCrop>false</ScaleCrop>
  <LinksUpToDate>false</LinksUpToDate>
  <CharactersWithSpaces>3888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2020-08-18T15:26:00Z</dcterms:created>
  <dc:creator>lenovo</dc:creator>
  <cp:lastModifiedBy>user</cp:lastModifiedBy>
  <cp:lastPrinted>2020-08-18T15:22:00Z</cp:lastPrinted>
  <dcterms:modified xsi:type="dcterms:W3CDTF">2025-08-18T08:53:38Z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C1C755E5AE894DE78BD0B83E1493C653</vt:lpwstr>
  </property>
</Properties>
</file>