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987" w:firstLineChars="450"/>
        <w:jc w:val="both"/>
        <w:rPr>
          <w:rFonts w:ascii="宋体" w:hAnsi="宋体"/>
          <w:b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康平县两家子乡卫生院</w:t>
      </w:r>
    </w:p>
    <w:p>
      <w:pPr>
        <w:ind w:left="4848" w:leftChars="836" w:hanging="3092" w:hangingChars="700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2021年预算公开补充说明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 xml:space="preserve">   </w:t>
      </w:r>
    </w:p>
    <w:p>
      <w:pPr>
        <w:numPr>
          <w:ilvl w:val="0"/>
          <w:numId w:val="1"/>
        </w:num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表4政府性基本预算支出：本单位没有政府性基本预算经费拨款，也没有政府性基本预算支出，所以2021年预算公开政府性基本预算支出填报空表。</w:t>
      </w:r>
    </w:p>
    <w:p>
      <w:pPr>
        <w:numPr>
          <w:ilvl w:val="0"/>
          <w:numId w:val="1"/>
        </w:num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表11一般公共预算“三公”经费支出情况表：本单位没有一般公共预算“三公”经费拨款，本单位没有“三公”经费支出，所以2021年预算公开一般公共预算“三公”经费支出情况表填报空表。</w:t>
      </w:r>
    </w:p>
    <w:p>
      <w:pPr>
        <w:numPr>
          <w:ilvl w:val="0"/>
          <w:numId w:val="1"/>
        </w:num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表12政府购买服务支出预算情况表：本单位没有政府购买服务预算收入，没有政府购买服务预算支出，所以2021年预算公开政府购买服务支出预算情况表填报空表。</w:t>
      </w:r>
    </w:p>
    <w:p>
      <w:pPr>
        <w:numPr>
          <w:ilvl w:val="0"/>
          <w:numId w:val="1"/>
        </w:num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表13部门整体绩效目标情况表：本单位因疫情，患者锐减，没有部门整体绩效目标，所以2021年部门整体绩效目标情况表填报空表。</w:t>
      </w:r>
    </w:p>
    <w:p>
      <w:pPr>
        <w:numPr>
          <w:ilvl w:val="0"/>
          <w:numId w:val="1"/>
        </w:num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表14特定目标类项目绩效目标情况表：本单位没有特定目标类项目绩效，所以2021年特定目标类项目绩效目标情况表填报空表。</w:t>
      </w:r>
    </w:p>
    <w:p>
      <w:pPr>
        <w:pStyle w:val="2"/>
        <w:numPr>
          <w:ilvl w:val="0"/>
          <w:numId w:val="1"/>
        </w:numPr>
        <w:spacing w:before="0" w:beforeAutospacing="0" w:after="0" w:afterAutospacing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收支预算的总体说明：2020年预算收入79万元，2021年预算收入81万元，由于有人员经费增加，较上年增加2万元，2020年预算支出79万元，2021年预算支出81万元，由于有人员经费增加，支出较上年增加2万元。</w:t>
      </w:r>
    </w:p>
    <w:p>
      <w:pPr>
        <w:pStyle w:val="2"/>
        <w:numPr>
          <w:ilvl w:val="0"/>
          <w:numId w:val="1"/>
        </w:numPr>
        <w:spacing w:before="0" w:beforeAutospacing="0" w:after="0" w:afterAutospacing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般“三公”经费支出情况说明：1、公款出国（境)费：本年没有出国出境事项发生、此项费用没有支出。2、公务用车购置及运行费：本年没有购置公务用车及公务用车运行维护费，所以此项没有支出。3、公务招待费：本年没有公务招待费、所以此项没有支出。</w:t>
      </w:r>
    </w:p>
    <w:p>
      <w:pPr>
        <w:pStyle w:val="2"/>
        <w:numPr>
          <w:ilvl w:val="0"/>
          <w:numId w:val="1"/>
        </w:numPr>
        <w:spacing w:before="0" w:beforeAutospacing="0" w:after="0" w:afterAutospacing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机关运行经费安排情况：本单位为差额拨款事业单位，没有机关运行经费拨款，也没有机关运行经费支出。</w:t>
      </w:r>
    </w:p>
    <w:p>
      <w:pPr>
        <w:pStyle w:val="2"/>
        <w:numPr>
          <w:ilvl w:val="0"/>
          <w:numId w:val="1"/>
        </w:numPr>
        <w:spacing w:before="0" w:beforeAutospacing="0" w:after="0" w:afterAutospacing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政府采购预算安排情况：2021年本单位安排政府采购预算0万元。其中：政府采购货物预算0万元，政府采购工程预算0万元，政府采购服务预算0万元。</w:t>
      </w:r>
    </w:p>
    <w:p>
      <w:pPr>
        <w:pStyle w:val="2"/>
        <w:numPr>
          <w:ilvl w:val="0"/>
          <w:numId w:val="1"/>
        </w:numPr>
        <w:spacing w:before="0" w:beforeAutospacing="0" w:after="0" w:afterAutospacing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国有资产占使用情况：2020年末资产总额129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万元</w:t>
      </w:r>
      <w:r>
        <w:rPr>
          <w:rFonts w:hint="eastAsia" w:ascii="仿宋" w:hAnsi="仿宋" w:eastAsia="仿宋"/>
          <w:sz w:val="32"/>
          <w:szCs w:val="32"/>
        </w:rPr>
        <w:t>，其中流动资产</w:t>
      </w:r>
      <w:r>
        <w:rPr>
          <w:rFonts w:hint="eastAsia" w:ascii="仿宋" w:hAnsi="仿宋" w:eastAsia="仿宋"/>
          <w:color w:val="000000"/>
          <w:sz w:val="32"/>
          <w:szCs w:val="32"/>
        </w:rPr>
        <w:t>13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万元</w:t>
      </w:r>
      <w:r>
        <w:rPr>
          <w:rFonts w:hint="eastAsia" w:ascii="仿宋" w:hAnsi="仿宋" w:eastAsia="仿宋"/>
          <w:sz w:val="32"/>
          <w:szCs w:val="32"/>
        </w:rPr>
        <w:t>，固定资产</w:t>
      </w:r>
      <w:r>
        <w:rPr>
          <w:rFonts w:hint="eastAsia" w:ascii="仿宋" w:hAnsi="仿宋" w:eastAsia="仿宋"/>
          <w:color w:val="000000"/>
          <w:sz w:val="32"/>
          <w:szCs w:val="32"/>
          <w:shd w:val="clear" w:color="auto" w:fill="FFFFFF"/>
        </w:rPr>
        <w:t>116万元</w:t>
      </w:r>
      <w:r>
        <w:rPr>
          <w:rFonts w:hint="eastAsia" w:ascii="仿宋" w:hAnsi="仿宋" w:eastAsia="仿宋"/>
          <w:sz w:val="32"/>
          <w:szCs w:val="32"/>
        </w:rPr>
        <w:t>，无形资产0.9万元。</w:t>
      </w:r>
    </w:p>
    <w:p>
      <w:pPr>
        <w:pStyle w:val="2"/>
        <w:numPr>
          <w:ilvl w:val="0"/>
          <w:numId w:val="1"/>
        </w:numPr>
        <w:spacing w:before="0" w:beforeAutospacing="0" w:after="0" w:afterAutospacing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绩效目标设置情况：预过设定绩效目标，单位自我约束意识及责任意识明显提高，使用财政资金要讲究效益的理念在逐步形成。</w:t>
      </w:r>
    </w:p>
    <w:p>
      <w:pPr>
        <w:ind w:left="66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FE255F"/>
    <w:multiLevelType w:val="multilevel"/>
    <w:tmpl w:val="59FE255F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 w:ascii="宋体" w:hAnsi="宋体" w:eastAsia="宋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B5E66"/>
    <w:rsid w:val="00626A09"/>
    <w:rsid w:val="00C15617"/>
    <w:rsid w:val="00CB5E66"/>
    <w:rsid w:val="CBFF9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126</Words>
  <Characters>724</Characters>
  <Lines>6</Lines>
  <Paragraphs>1</Paragraphs>
  <TotalTime>0</TotalTime>
  <ScaleCrop>false</ScaleCrop>
  <LinksUpToDate>false</LinksUpToDate>
  <CharactersWithSpaces>849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2022-03-10T16:04:00Z</dcterms:created>
  <dc:creator>dreamsummit</dc:creator>
  <cp:lastModifiedBy>admin1</cp:lastModifiedBy>
  <dcterms:modified xsi:type="dcterms:W3CDTF">2025-12-17T14:52:08Z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30A4B2C241E5132B18534269D4DC8C7E</vt:lpwstr>
  </property>
</Properties>
</file>