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eastAsia="宋体" w:cs="Times New Roman"/>
          <w:b/>
          <w:sz w:val="44"/>
          <w:szCs w:val="44"/>
        </w:rPr>
      </w:pPr>
      <w:r>
        <w:rPr>
          <w:rFonts w:hint="eastAsia" w:ascii="Times New Roman" w:hAnsi="Times New Roman" w:eastAsia="宋体" w:cs="Times New Roman"/>
          <w:b/>
          <w:sz w:val="44"/>
          <w:szCs w:val="44"/>
        </w:rPr>
        <w:t>康平县应急管理事务服务中心</w:t>
      </w:r>
    </w:p>
    <w:p>
      <w:pPr>
        <w:jc w:val="center"/>
        <w:rPr>
          <w:rFonts w:hint="eastAsia" w:ascii="Times New Roman" w:hAnsi="Times New Roman" w:eastAsia="宋体" w:cs="Times New Roman"/>
          <w:b/>
          <w:sz w:val="44"/>
          <w:szCs w:val="44"/>
        </w:rPr>
      </w:pPr>
      <w:r>
        <w:rPr>
          <w:rFonts w:hint="eastAsia" w:ascii="Times New Roman" w:hAnsi="Times New Roman" w:eastAsia="宋体" w:cs="Times New Roman"/>
          <w:b/>
          <w:sz w:val="44"/>
          <w:szCs w:val="44"/>
        </w:rPr>
        <w:t>2021年预算公开说明</w:t>
      </w:r>
    </w:p>
    <w:p>
      <w:pPr>
        <w:pStyle w:val="5"/>
        <w:ind w:firstLine="628" w:firstLineChars="0"/>
        <w:rPr>
          <w:rFonts w:hint="eastAsia" w:ascii="仿宋" w:hAnsi="仿宋" w:eastAsia="仿宋" w:cs="Times New Roman"/>
          <w:b/>
          <w:sz w:val="32"/>
          <w:szCs w:val="32"/>
        </w:rPr>
      </w:pPr>
    </w:p>
    <w:p>
      <w:pPr>
        <w:pStyle w:val="5"/>
        <w:ind w:firstLine="628" w:firstLineChars="0"/>
        <w:rPr>
          <w:rFonts w:hint="eastAsia" w:ascii="仿宋" w:hAnsi="仿宋" w:eastAsia="仿宋" w:cs="Times New Roman"/>
          <w:b/>
          <w:sz w:val="32"/>
          <w:szCs w:val="32"/>
        </w:rPr>
      </w:pPr>
      <w:r>
        <w:rPr>
          <w:rFonts w:hint="eastAsia" w:ascii="仿宋" w:hAnsi="仿宋" w:eastAsia="仿宋" w:cs="Times New Roman"/>
          <w:b/>
          <w:sz w:val="32"/>
          <w:szCs w:val="32"/>
        </w:rPr>
        <w:t>一、部门主要职责及机构设置情况</w:t>
      </w:r>
    </w:p>
    <w:p>
      <w:pPr>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1、主要职责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（一）负责宣传贯彻执行国家、省、市有关应急管理工作的方针、政策和法律、法规、规章，承担全县应急管理工作中长期规划和年度计划中相关任务的组织实施。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（二）负责全县应急救援指挥的服务保障工作。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（三）负责全县安全生产、防灾减灾和应急管理的科普宣传、警示教育以及新技术新成果应用推广服务工作。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（四）参与自然灾害和突发公共事件应急救助工作。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（五）协助做好防汛、防灾减灾、应急救援物资的采购、储备、管护等服务保障工作。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（六）负责全县铁路监护道ロ的日常管理、安全设施的维护等服务保障工作。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（七）负责全县地震监测预报、地震灾害防御、地震技术保障等工作。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（八）负责应急管理事业经费的管理、使用工作。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（九）依委托组织开展全县安全生产执法检查工作。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（十）承担县委、县政府交办的其他工作。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2、机构设置情况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本中心属财政拨款事业单位，编制人数共计36人，退休人员2人，内设机构设置综合部、应急指挥保障部、应急物资储备部、安全生产执法检查部、综合防灾减灾部5个部和1个分支机构地震台。</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二、预算收支增减变化情况</w:t>
      </w:r>
    </w:p>
    <w:p>
      <w:pPr>
        <w:pStyle w:val="2"/>
        <w:spacing w:before="0" w:beforeAutospacing="0" w:after="0" w:afterAutospacing="0"/>
        <w:ind w:firstLine="640" w:firstLineChars="200"/>
        <w:rPr>
          <w:rFonts w:hint="eastAsia" w:ascii="仿宋" w:hAnsi="仿宋" w:eastAsia="仿宋" w:cs="仿宋"/>
          <w:sz w:val="32"/>
          <w:szCs w:val="32"/>
        </w:rPr>
      </w:pPr>
      <w:r>
        <w:rPr>
          <w:rFonts w:hint="eastAsia" w:ascii="仿宋" w:hAnsi="仿宋" w:eastAsia="仿宋"/>
          <w:bCs/>
          <w:sz w:val="32"/>
          <w:szCs w:val="32"/>
        </w:rPr>
        <w:t>我单位各项经费均为财政拨款，各项支出均按财政要求支出。202</w:t>
      </w:r>
      <w:r>
        <w:rPr>
          <w:rFonts w:hint="eastAsia" w:ascii="仿宋" w:hAnsi="仿宋" w:eastAsia="仿宋"/>
          <w:bCs/>
          <w:sz w:val="32"/>
          <w:szCs w:val="32"/>
          <w:lang w:val="en-US" w:eastAsia="zh-CN"/>
        </w:rPr>
        <w:t>1</w:t>
      </w:r>
      <w:r>
        <w:rPr>
          <w:rFonts w:hint="eastAsia" w:ascii="仿宋" w:hAnsi="仿宋" w:eastAsia="仿宋"/>
          <w:bCs/>
          <w:sz w:val="32"/>
          <w:szCs w:val="32"/>
        </w:rPr>
        <w:t>年度财政拨款预算收入</w:t>
      </w:r>
      <w:r>
        <w:rPr>
          <w:rFonts w:hint="eastAsia" w:ascii="仿宋" w:hAnsi="仿宋" w:eastAsia="仿宋"/>
          <w:bCs/>
          <w:sz w:val="32"/>
          <w:szCs w:val="32"/>
          <w:lang w:val="en-US" w:eastAsia="zh-CN"/>
        </w:rPr>
        <w:t>344.58</w:t>
      </w:r>
      <w:r>
        <w:rPr>
          <w:rFonts w:hint="eastAsia" w:ascii="仿宋" w:hAnsi="仿宋" w:eastAsia="仿宋"/>
          <w:bCs/>
          <w:sz w:val="32"/>
          <w:szCs w:val="32"/>
        </w:rPr>
        <w:t>万元，202</w:t>
      </w:r>
      <w:r>
        <w:rPr>
          <w:rFonts w:hint="eastAsia" w:ascii="仿宋" w:hAnsi="仿宋" w:eastAsia="仿宋"/>
          <w:bCs/>
          <w:sz w:val="32"/>
          <w:szCs w:val="32"/>
          <w:lang w:val="en-US" w:eastAsia="zh-CN"/>
        </w:rPr>
        <w:t>0</w:t>
      </w:r>
      <w:r>
        <w:rPr>
          <w:rFonts w:hint="eastAsia" w:ascii="仿宋" w:hAnsi="仿宋" w:eastAsia="仿宋"/>
          <w:bCs/>
          <w:sz w:val="32"/>
          <w:szCs w:val="32"/>
        </w:rPr>
        <w:t>年部门预算收入</w:t>
      </w:r>
      <w:r>
        <w:rPr>
          <w:rFonts w:hint="eastAsia" w:ascii="仿宋" w:hAnsi="仿宋" w:eastAsia="仿宋"/>
          <w:bCs/>
          <w:sz w:val="32"/>
          <w:szCs w:val="32"/>
          <w:lang w:val="en-US" w:eastAsia="zh-CN"/>
        </w:rPr>
        <w:t>304.84</w:t>
      </w:r>
      <w:r>
        <w:rPr>
          <w:rFonts w:hint="eastAsia" w:ascii="仿宋" w:hAnsi="仿宋" w:eastAsia="仿宋"/>
          <w:bCs/>
          <w:sz w:val="32"/>
          <w:szCs w:val="32"/>
        </w:rPr>
        <w:t>万元，202</w:t>
      </w:r>
      <w:r>
        <w:rPr>
          <w:rFonts w:hint="eastAsia" w:ascii="仿宋" w:hAnsi="仿宋" w:eastAsia="仿宋"/>
          <w:bCs/>
          <w:sz w:val="32"/>
          <w:szCs w:val="32"/>
          <w:lang w:val="en-US" w:eastAsia="zh-CN"/>
        </w:rPr>
        <w:t>1</w:t>
      </w:r>
      <w:r>
        <w:rPr>
          <w:rFonts w:hint="eastAsia" w:ascii="仿宋" w:hAnsi="仿宋" w:eastAsia="仿宋"/>
          <w:bCs/>
          <w:sz w:val="32"/>
          <w:szCs w:val="32"/>
        </w:rPr>
        <w:t>年比202</w:t>
      </w:r>
      <w:r>
        <w:rPr>
          <w:rFonts w:hint="eastAsia" w:ascii="仿宋" w:hAnsi="仿宋" w:eastAsia="仿宋"/>
          <w:bCs/>
          <w:sz w:val="32"/>
          <w:szCs w:val="32"/>
          <w:lang w:val="en-US" w:eastAsia="zh-CN"/>
        </w:rPr>
        <w:t>0</w:t>
      </w:r>
      <w:r>
        <w:rPr>
          <w:rFonts w:hint="eastAsia" w:ascii="仿宋" w:hAnsi="仿宋" w:eastAsia="仿宋"/>
          <w:bCs/>
          <w:sz w:val="32"/>
          <w:szCs w:val="32"/>
        </w:rPr>
        <w:t>年增加</w:t>
      </w:r>
      <w:r>
        <w:rPr>
          <w:rFonts w:hint="eastAsia" w:ascii="仿宋" w:hAnsi="仿宋" w:eastAsia="仿宋"/>
          <w:bCs/>
          <w:sz w:val="32"/>
          <w:szCs w:val="32"/>
          <w:lang w:val="en-US" w:eastAsia="zh-CN"/>
        </w:rPr>
        <w:t>39.74</w:t>
      </w:r>
      <w:r>
        <w:rPr>
          <w:rFonts w:hint="eastAsia" w:ascii="仿宋" w:hAnsi="仿宋" w:eastAsia="仿宋"/>
          <w:bCs/>
          <w:sz w:val="32"/>
          <w:szCs w:val="32"/>
        </w:rPr>
        <w:t>万元，增加幅度为</w:t>
      </w:r>
      <w:r>
        <w:rPr>
          <w:rFonts w:hint="eastAsia" w:ascii="仿宋" w:hAnsi="仿宋" w:eastAsia="仿宋"/>
          <w:bCs/>
          <w:sz w:val="32"/>
          <w:szCs w:val="32"/>
          <w:lang w:val="en-US" w:eastAsia="zh-CN"/>
        </w:rPr>
        <w:t>13.03</w:t>
      </w:r>
      <w:r>
        <w:rPr>
          <w:rFonts w:hint="eastAsia" w:ascii="仿宋" w:hAnsi="仿宋" w:eastAsia="仿宋"/>
          <w:bCs/>
          <w:sz w:val="32"/>
          <w:szCs w:val="32"/>
        </w:rPr>
        <w:t>%，原因</w:t>
      </w:r>
      <w:r>
        <w:rPr>
          <w:rFonts w:hint="eastAsia" w:ascii="仿宋" w:hAnsi="仿宋" w:eastAsia="仿宋" w:cs="仿宋"/>
          <w:sz w:val="32"/>
          <w:szCs w:val="32"/>
        </w:rPr>
        <w:t>是我中心2021年度较2020年度财政供养人员有所增加，</w:t>
      </w:r>
      <w:r>
        <w:rPr>
          <w:rFonts w:hint="eastAsia" w:ascii="仿宋" w:hAnsi="仿宋" w:eastAsia="仿宋" w:cs="仿宋"/>
          <w:sz w:val="32"/>
          <w:szCs w:val="32"/>
          <w:lang w:eastAsia="zh-CN"/>
        </w:rPr>
        <w:t>工资、保险、公积金和公用经费都有所增加，</w:t>
      </w:r>
      <w:r>
        <w:rPr>
          <w:rFonts w:hint="eastAsia" w:ascii="仿宋" w:hAnsi="仿宋" w:eastAsia="仿宋" w:cs="仿宋"/>
          <w:sz w:val="32"/>
          <w:szCs w:val="32"/>
        </w:rPr>
        <w:t>所以预算数额增加。</w:t>
      </w:r>
    </w:p>
    <w:p>
      <w:pPr>
        <w:pStyle w:val="2"/>
        <w:spacing w:before="0" w:beforeAutospacing="0" w:after="0" w:afterAutospacing="0"/>
        <w:ind w:firstLine="640" w:firstLineChars="200"/>
        <w:rPr>
          <w:rFonts w:ascii="仿宋" w:hAnsi="仿宋" w:eastAsia="仿宋"/>
          <w:bCs/>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1</w:t>
      </w:r>
      <w:r>
        <w:rPr>
          <w:rFonts w:hint="eastAsia" w:ascii="仿宋" w:hAnsi="仿宋" w:eastAsia="仿宋" w:cs="仿宋"/>
          <w:sz w:val="32"/>
          <w:szCs w:val="32"/>
        </w:rPr>
        <w:t>年部门预算支出3</w:t>
      </w:r>
      <w:r>
        <w:rPr>
          <w:rFonts w:hint="eastAsia" w:ascii="仿宋" w:hAnsi="仿宋" w:eastAsia="仿宋" w:cs="仿宋"/>
          <w:sz w:val="32"/>
          <w:szCs w:val="32"/>
          <w:lang w:val="en-US" w:eastAsia="zh-CN"/>
        </w:rPr>
        <w:t>44.58</w:t>
      </w:r>
      <w:r>
        <w:rPr>
          <w:rFonts w:hint="eastAsia" w:ascii="仿宋" w:hAnsi="仿宋" w:eastAsia="仿宋" w:cs="仿宋"/>
          <w:sz w:val="32"/>
          <w:szCs w:val="32"/>
        </w:rPr>
        <w:t>万元，202</w:t>
      </w:r>
      <w:r>
        <w:rPr>
          <w:rFonts w:hint="eastAsia" w:ascii="仿宋" w:hAnsi="仿宋" w:eastAsia="仿宋" w:cs="仿宋"/>
          <w:sz w:val="32"/>
          <w:szCs w:val="32"/>
          <w:lang w:val="en-US" w:eastAsia="zh-CN"/>
        </w:rPr>
        <w:t>0</w:t>
      </w:r>
      <w:r>
        <w:rPr>
          <w:rFonts w:hint="eastAsia" w:ascii="仿宋" w:hAnsi="仿宋" w:eastAsia="仿宋" w:cs="仿宋"/>
          <w:sz w:val="32"/>
          <w:szCs w:val="32"/>
        </w:rPr>
        <w:t>年</w:t>
      </w:r>
      <w:r>
        <w:rPr>
          <w:rFonts w:hint="eastAsia" w:ascii="仿宋" w:hAnsi="仿宋" w:eastAsia="仿宋" w:cs="仿宋"/>
          <w:sz w:val="32"/>
          <w:szCs w:val="32"/>
          <w:lang w:val="en-US" w:eastAsia="zh-CN"/>
        </w:rPr>
        <w:t>304.84</w:t>
      </w:r>
      <w:r>
        <w:rPr>
          <w:rFonts w:hint="eastAsia" w:ascii="仿宋" w:hAnsi="仿宋" w:eastAsia="仿宋" w:cs="仿宋"/>
          <w:sz w:val="32"/>
          <w:szCs w:val="32"/>
        </w:rPr>
        <w:t>万元，202</w:t>
      </w:r>
      <w:r>
        <w:rPr>
          <w:rFonts w:hint="eastAsia" w:ascii="仿宋" w:hAnsi="仿宋" w:eastAsia="仿宋" w:cs="仿宋"/>
          <w:sz w:val="32"/>
          <w:szCs w:val="32"/>
          <w:lang w:val="en-US" w:eastAsia="zh-CN"/>
        </w:rPr>
        <w:t>1</w:t>
      </w:r>
      <w:r>
        <w:rPr>
          <w:rFonts w:hint="eastAsia" w:ascii="仿宋" w:hAnsi="仿宋" w:eastAsia="仿宋" w:cs="仿宋"/>
          <w:sz w:val="32"/>
          <w:szCs w:val="32"/>
        </w:rPr>
        <w:t>年比202</w:t>
      </w:r>
      <w:r>
        <w:rPr>
          <w:rFonts w:hint="eastAsia" w:ascii="仿宋" w:hAnsi="仿宋" w:eastAsia="仿宋" w:cs="仿宋"/>
          <w:sz w:val="32"/>
          <w:szCs w:val="32"/>
          <w:lang w:val="en-US" w:eastAsia="zh-CN"/>
        </w:rPr>
        <w:t>0</w:t>
      </w:r>
      <w:r>
        <w:rPr>
          <w:rFonts w:hint="eastAsia" w:ascii="仿宋" w:hAnsi="仿宋" w:eastAsia="仿宋" w:cs="仿宋"/>
          <w:sz w:val="32"/>
          <w:szCs w:val="32"/>
        </w:rPr>
        <w:t>年部门预算支出数增加</w:t>
      </w:r>
      <w:r>
        <w:rPr>
          <w:rFonts w:hint="eastAsia" w:ascii="仿宋" w:hAnsi="仿宋" w:eastAsia="仿宋" w:cs="仿宋"/>
          <w:sz w:val="32"/>
          <w:szCs w:val="32"/>
          <w:lang w:val="en-US" w:eastAsia="zh-CN"/>
        </w:rPr>
        <w:t>39.74</w:t>
      </w:r>
      <w:r>
        <w:rPr>
          <w:rFonts w:hint="eastAsia" w:ascii="仿宋" w:hAnsi="仿宋" w:eastAsia="仿宋" w:cs="仿宋"/>
          <w:sz w:val="32"/>
          <w:szCs w:val="32"/>
        </w:rPr>
        <w:t>万元，增加</w:t>
      </w:r>
      <w:r>
        <w:rPr>
          <w:rFonts w:hint="eastAsia" w:ascii="仿宋" w:hAnsi="仿宋" w:eastAsia="仿宋" w:cs="仿宋"/>
          <w:sz w:val="32"/>
          <w:szCs w:val="32"/>
          <w:lang w:val="en-US" w:eastAsia="zh-CN"/>
        </w:rPr>
        <w:t>13.03</w:t>
      </w:r>
      <w:r>
        <w:rPr>
          <w:rFonts w:hint="eastAsia" w:ascii="仿宋" w:hAnsi="仿宋" w:eastAsia="仿宋" w:cs="仿宋"/>
          <w:sz w:val="32"/>
          <w:szCs w:val="32"/>
        </w:rPr>
        <w:t>%，</w:t>
      </w:r>
      <w:r>
        <w:rPr>
          <w:rFonts w:hint="eastAsia" w:ascii="仿宋" w:hAnsi="仿宋" w:eastAsia="仿宋"/>
          <w:bCs/>
          <w:sz w:val="32"/>
          <w:szCs w:val="32"/>
        </w:rPr>
        <w:t>原因</w:t>
      </w:r>
      <w:r>
        <w:rPr>
          <w:rFonts w:hint="eastAsia" w:ascii="仿宋" w:hAnsi="仿宋" w:eastAsia="仿宋" w:cs="仿宋"/>
          <w:sz w:val="32"/>
          <w:szCs w:val="32"/>
        </w:rPr>
        <w:t>是我中心2021年度较2020年度财政供养人员有所增加，</w:t>
      </w:r>
      <w:bookmarkStart w:id="0" w:name="_GoBack"/>
      <w:bookmarkEnd w:id="0"/>
      <w:r>
        <w:rPr>
          <w:rFonts w:hint="eastAsia" w:ascii="仿宋" w:hAnsi="仿宋" w:eastAsia="仿宋" w:cs="仿宋"/>
          <w:sz w:val="32"/>
          <w:szCs w:val="32"/>
        </w:rPr>
        <w:t>所以预算数额增加。</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三、机关运行费安排情况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无机关运行费。</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四、政府采购安排情况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政府采购年初无计划，如有采购计划及时请示、审批后实施。</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五、“三公”经费增减变化原因等情况说明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我中心目前无“三公”经费支出。</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六、预算绩效情况</w:t>
      </w:r>
    </w:p>
    <w:p>
      <w:pPr>
        <w:pStyle w:val="2"/>
        <w:spacing w:before="0" w:beforeAutospacing="0" w:after="0" w:afterAutospacing="0"/>
        <w:ind w:firstLine="640" w:firstLineChars="200"/>
        <w:rPr>
          <w:rFonts w:ascii="仿宋_GB2312" w:hAnsi="Times New Roman" w:eastAsia="仿宋_GB2312" w:cs="仿宋_GB2312"/>
          <w:bCs/>
          <w:kern w:val="2"/>
          <w:sz w:val="32"/>
          <w:szCs w:val="32"/>
        </w:rPr>
      </w:pPr>
      <w:r>
        <w:rPr>
          <w:rFonts w:hint="eastAsia" w:ascii="仿宋_GB2312" w:hAnsi="Times New Roman" w:eastAsia="仿宋_GB2312" w:cs="仿宋_GB2312"/>
          <w:bCs/>
          <w:kern w:val="2"/>
          <w:sz w:val="32"/>
          <w:szCs w:val="32"/>
        </w:rPr>
        <w:t>为了进一步贯彻《预算法》，加强绩效管理，我单位以绩效目标实现为导向，进一步加强制度建设，提升自评质量，使预算绩效管理取得新成效。</w:t>
      </w:r>
    </w:p>
    <w:p>
      <w:pPr>
        <w:pStyle w:val="2"/>
        <w:spacing w:before="0" w:beforeAutospacing="0" w:after="0" w:afterAutospacing="0"/>
        <w:ind w:firstLine="640" w:firstLineChars="200"/>
        <w:rPr>
          <w:rFonts w:ascii="仿宋" w:hAnsi="仿宋" w:eastAsia="仿宋"/>
          <w:b/>
          <w:sz w:val="32"/>
          <w:szCs w:val="32"/>
        </w:rPr>
      </w:pPr>
      <w:r>
        <w:rPr>
          <w:rFonts w:hint="eastAsia" w:ascii="仿宋_GB2312" w:hAnsi="Times New Roman" w:eastAsia="仿宋_GB2312" w:cs="仿宋_GB2312"/>
          <w:bCs/>
          <w:kern w:val="2"/>
          <w:sz w:val="32"/>
          <w:szCs w:val="32"/>
        </w:rPr>
        <w:t>我中心202</w:t>
      </w:r>
      <w:r>
        <w:rPr>
          <w:rFonts w:hint="eastAsia" w:ascii="仿宋_GB2312" w:hAnsi="Times New Roman" w:eastAsia="仿宋_GB2312" w:cs="仿宋_GB2312"/>
          <w:bCs/>
          <w:kern w:val="2"/>
          <w:sz w:val="32"/>
          <w:szCs w:val="32"/>
          <w:lang w:val="en-US" w:eastAsia="zh-CN"/>
        </w:rPr>
        <w:t>1</w:t>
      </w:r>
      <w:r>
        <w:rPr>
          <w:rFonts w:hint="eastAsia" w:ascii="仿宋_GB2312" w:hAnsi="Times New Roman" w:eastAsia="仿宋_GB2312" w:cs="仿宋_GB2312"/>
          <w:bCs/>
          <w:kern w:val="2"/>
          <w:sz w:val="32"/>
          <w:szCs w:val="32"/>
        </w:rPr>
        <w:t>年度预算收入3</w:t>
      </w:r>
      <w:r>
        <w:rPr>
          <w:rFonts w:hint="eastAsia" w:ascii="仿宋_GB2312" w:hAnsi="Times New Roman" w:eastAsia="仿宋_GB2312" w:cs="仿宋_GB2312"/>
          <w:bCs/>
          <w:kern w:val="2"/>
          <w:sz w:val="32"/>
          <w:szCs w:val="32"/>
          <w:lang w:val="en-US" w:eastAsia="zh-CN"/>
        </w:rPr>
        <w:t>44.58</w:t>
      </w:r>
      <w:r>
        <w:rPr>
          <w:rFonts w:hint="eastAsia" w:ascii="仿宋_GB2312" w:hAnsi="Times New Roman" w:eastAsia="仿宋_GB2312" w:cs="仿宋_GB2312"/>
          <w:bCs/>
          <w:kern w:val="2"/>
          <w:sz w:val="32"/>
          <w:szCs w:val="32"/>
        </w:rPr>
        <w:t>万元，绩效目标是保障单位人员及日常经费支出。年度预算主要任务是部门基本支出人员经费</w:t>
      </w:r>
      <w:r>
        <w:rPr>
          <w:rFonts w:hint="eastAsia" w:ascii="仿宋_GB2312" w:hAnsi="Times New Roman" w:eastAsia="仿宋_GB2312" w:cs="仿宋_GB2312"/>
          <w:bCs/>
          <w:kern w:val="2"/>
          <w:sz w:val="32"/>
          <w:szCs w:val="32"/>
          <w:lang w:val="en-US" w:eastAsia="zh-CN"/>
        </w:rPr>
        <w:t>293.44</w:t>
      </w:r>
      <w:r>
        <w:rPr>
          <w:rFonts w:hint="eastAsia" w:ascii="仿宋_GB2312" w:hAnsi="Times New Roman" w:eastAsia="仿宋_GB2312" w:cs="仿宋_GB2312"/>
          <w:bCs/>
          <w:kern w:val="2"/>
          <w:sz w:val="32"/>
          <w:szCs w:val="32"/>
        </w:rPr>
        <w:t>万元；部门基本支出公用经费</w:t>
      </w:r>
      <w:r>
        <w:rPr>
          <w:rFonts w:hint="eastAsia" w:ascii="仿宋_GB2312" w:hAnsi="Times New Roman" w:eastAsia="仿宋_GB2312" w:cs="仿宋_GB2312"/>
          <w:bCs/>
          <w:kern w:val="2"/>
          <w:sz w:val="32"/>
          <w:szCs w:val="32"/>
          <w:lang w:val="en-US" w:eastAsia="zh-CN"/>
        </w:rPr>
        <w:t>18.22</w:t>
      </w:r>
      <w:r>
        <w:rPr>
          <w:rFonts w:hint="eastAsia" w:ascii="仿宋_GB2312" w:hAnsi="Times New Roman" w:eastAsia="仿宋_GB2312" w:cs="仿宋_GB2312"/>
          <w:bCs/>
          <w:kern w:val="2"/>
          <w:sz w:val="32"/>
          <w:szCs w:val="32"/>
        </w:rPr>
        <w:t>万元；其他运转类项目支出经费</w:t>
      </w:r>
      <w:r>
        <w:rPr>
          <w:rFonts w:hint="eastAsia" w:ascii="仿宋_GB2312" w:hAnsi="Times New Roman" w:eastAsia="仿宋_GB2312" w:cs="仿宋_GB2312"/>
          <w:bCs/>
          <w:kern w:val="2"/>
          <w:sz w:val="32"/>
          <w:szCs w:val="32"/>
          <w:lang w:val="en-US" w:eastAsia="zh-CN"/>
        </w:rPr>
        <w:t>32.92</w:t>
      </w:r>
      <w:r>
        <w:rPr>
          <w:rFonts w:hint="eastAsia" w:ascii="仿宋_GB2312" w:hAnsi="Times New Roman" w:eastAsia="仿宋_GB2312" w:cs="仿宋_GB2312"/>
          <w:bCs/>
          <w:kern w:val="2"/>
          <w:sz w:val="32"/>
          <w:szCs w:val="32"/>
        </w:rPr>
        <w:t>万元。要实现履职效能，履行重点工作办结率要达到100%，整体工作完成及时率要达到100%，整体工作质量达标率要达到100%，整体工作完成率要达到100%。预算执行率要达到100%。预算绩效目标覆盖率要达到100%。预决算要全部公开，预算收入支出管理要规范。财务、内控制度管理实现有效性。固定资产利用率要达到100%，运行成本控制要有成效，“三公”经费变动率保持零，在职人员控制率要达到100%。社会公众满意度达到100%。</w:t>
      </w:r>
    </w:p>
    <w:p>
      <w:pPr>
        <w:pStyle w:val="2"/>
        <w:spacing w:before="0" w:beforeAutospacing="0" w:after="0" w:afterAutospacing="0"/>
        <w:ind w:firstLine="640" w:firstLineChars="200"/>
        <w:rPr>
          <w:rFonts w:ascii="仿宋" w:hAnsi="仿宋" w:eastAsia="仿宋"/>
          <w:bCs/>
          <w:sz w:val="32"/>
          <w:szCs w:val="32"/>
        </w:rPr>
      </w:pPr>
      <w:r>
        <w:rPr>
          <w:rFonts w:hint="eastAsia" w:ascii="仿宋" w:hAnsi="仿宋" w:eastAsia="仿宋"/>
          <w:bCs/>
          <w:sz w:val="32"/>
          <w:szCs w:val="32"/>
        </w:rPr>
        <w:t>202</w:t>
      </w:r>
      <w:r>
        <w:rPr>
          <w:rFonts w:hint="eastAsia" w:ascii="仿宋" w:hAnsi="仿宋" w:eastAsia="仿宋"/>
          <w:bCs/>
          <w:sz w:val="32"/>
          <w:szCs w:val="32"/>
          <w:lang w:val="en-US" w:eastAsia="zh-CN"/>
        </w:rPr>
        <w:t>1</w:t>
      </w:r>
      <w:r>
        <w:rPr>
          <w:rFonts w:hint="eastAsia" w:ascii="仿宋" w:hAnsi="仿宋" w:eastAsia="仿宋"/>
          <w:bCs/>
          <w:sz w:val="32"/>
          <w:szCs w:val="32"/>
        </w:rPr>
        <w:t>年度，将认真贯彻落实财政部门预算绩效管理工作要求，抓好预算绩效管理制度建设，提升自评质量，深化预算绩效管理工作，努力提高工作技能，完成财政预算管理工作要求。</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七、国有资产占用使用情况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我中心国有资产均正常使用，无破损、报废情况，折旧等情况均严格按照有关文件指示精神执行。</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八、名词解释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1.财政拨款收入：指市级财政当年拨付的资金。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3.附属单位上缴收入：指已纳入部门预算管理的独立核算的附属单位按照有关规定上缴的收入。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 其他收入：指除上述“财政拨款收入”、“纳入专户管理的预算外资金拨款”、“上级补助、附属单位上缴收入”以外的收入。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5.一般公共服务（类）财政事务（款）行政运行（项）：反映行政单位（包括实行公务员管理的事业单位）的基本支出。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6.一般公共服务（类）财政事务（款）一般行政管理事务（项）：反映行政单位（包括实行公务员管理的事业单位）未单独设置项级科目的其他项目支出。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7.一般公共服务（类）财政事务（款）预算改革业务（项）：反映财政部门用于预算改革方面的支出。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8.一般公共服务（类）财政事务（款）财政国库业务（项）：反映财政部门用于财政国库集中收付业务方面的支出。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9.一般公共服务（类）财政事务（款）事业运行（项）：反映事业单位的基本支出，不包括行政单位（包括实行公务员管理的事业单位）后勤服务中心、医务室等附属事业单位。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10.一般公共服务（类）财政事务（款）其他财政事务支出（项）：反映除上述项目以外其他财政事务方面的支出。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11.社会保障和就业（类）行政事业单位离退休（款）归口管理的行政单位离退休（项）：反映实行归口管理的行政单位（包括实行公务员管理的事业单位）开支的离退休经费。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12.社会保障和就业（类）行政事业单位离退休（款）事业单位离退休（项）：反映实行归口管理的事业单位开支的离退休经费。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15.住房保障（类）住房改革（款）住房公积金（项）：反映行政事业单位按人力资源和社会保障部、财政部规定的基本工资和津贴补贴以及规定比例为职工缴纳的住房公积金。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16. 基本支出：指保障机构正常运转、完成日常工作任务而发生的人员支出和公用支出。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17. 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3C44E0"/>
    <w:rsid w:val="2C3C44E0"/>
    <w:rsid w:val="74AF3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2022-03-01T05:39:00Z</dcterms:created>
  <dc:creator>大卫</dc:creator>
  <cp:lastModifiedBy>事儿精</cp:lastModifiedBy>
  <dcterms:modified xsi:type="dcterms:W3CDTF">2022-03-01T06:43:33Z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690ECA6533664F0EA997B91E72802F4F</vt:lpwstr>
  </property>
</Properties>
</file>