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jc w:val="center"/>
        <w:rPr>
          <w:rFonts w:ascii="黑体" w:hAnsi="黑体" w:eastAsia="黑体"/>
          <w:sz w:val="44"/>
          <w:szCs w:val="44"/>
        </w:rPr>
      </w:pPr>
      <w:r>
        <w:rPr>
          <w:rFonts w:hint="eastAsia" w:ascii="黑体" w:hAnsi="黑体" w:eastAsia="黑体"/>
          <w:sz w:val="44"/>
          <w:szCs w:val="44"/>
        </w:rPr>
        <w:t>康平县人民代表大会常务委员会</w:t>
      </w:r>
    </w:p>
    <w:p>
      <w:pPr>
        <w:adjustRightInd/>
        <w:jc w:val="center"/>
        <w:rPr>
          <w:rFonts w:ascii="黑体" w:hAnsi="黑体" w:eastAsia="黑体"/>
          <w:sz w:val="44"/>
          <w:szCs w:val="44"/>
        </w:rPr>
      </w:pPr>
      <w:r>
        <w:rPr>
          <w:rFonts w:hint="eastAsia" w:ascii="黑体" w:hAnsi="黑体" w:eastAsia="黑体"/>
          <w:sz w:val="44"/>
          <w:szCs w:val="44"/>
        </w:rPr>
        <w:t>2017年度决算公开文字说明</w:t>
      </w:r>
    </w:p>
    <w:p>
      <w:pPr>
        <w:adjustRightInd/>
        <w:jc w:val="center"/>
        <w:rPr>
          <w:rFonts w:ascii="仿宋" w:hAnsi="仿宋" w:eastAsia="仿宋"/>
          <w:sz w:val="32"/>
          <w:szCs w:val="32"/>
        </w:rPr>
      </w:pPr>
    </w:p>
    <w:p>
      <w:pPr>
        <w:pStyle w:val="9"/>
        <w:widowControl w:val="0"/>
        <w:numPr>
          <w:ilvl w:val="0"/>
          <w:numId w:val="1"/>
        </w:numPr>
        <w:adjustRightInd/>
        <w:snapToGrid/>
        <w:spacing w:after="0"/>
        <w:ind w:firstLineChars="0"/>
        <w:jc w:val="both"/>
        <w:rPr>
          <w:rFonts w:ascii="仿宋" w:hAnsi="仿宋" w:eastAsia="仿宋"/>
          <w:sz w:val="32"/>
          <w:szCs w:val="32"/>
        </w:rPr>
      </w:pPr>
      <w:r>
        <w:rPr>
          <w:rFonts w:hint="eastAsia" w:ascii="仿宋" w:hAnsi="仿宋" w:eastAsia="仿宋"/>
          <w:sz w:val="32"/>
          <w:szCs w:val="32"/>
        </w:rPr>
        <w:t>主要职能及机构设置：</w:t>
      </w:r>
    </w:p>
    <w:p>
      <w:pPr>
        <w:widowControl w:val="0"/>
        <w:adjustRightInd/>
        <w:snapToGrid/>
        <w:spacing w:after="0"/>
        <w:ind w:firstLine="640" w:firstLineChars="200"/>
        <w:jc w:val="both"/>
        <w:rPr>
          <w:rFonts w:ascii="仿宋" w:hAnsi="仿宋" w:eastAsia="仿宋"/>
          <w:sz w:val="32"/>
          <w:szCs w:val="32"/>
        </w:rPr>
      </w:pPr>
      <w:r>
        <w:rPr>
          <w:rFonts w:hint="eastAsia" w:ascii="仿宋" w:hAnsi="仿宋" w:eastAsia="仿宋" w:cs="仿宋"/>
          <w:sz w:val="32"/>
          <w:szCs w:val="32"/>
        </w:rPr>
        <w:t>1.主要职能：人大常委会是县人民代表大会的常设机关，对县人民代表大会负责并报告工作。县人大常委会行使下列职权：在本行政区域内保证宪法、法律、行政法规和上级人民代表大会及其常委会决议的遵守和执行；领导主持县人民代表的选举；召集县人民代表大会会议；讨论、决定本县内的政治、经济、教育、科学、文化、卫生、环境和资源保护、民政、民族等工作的重大事项；根据县人民政府的建议，决定对本县内的国民经济和社会发展计划、预算的部分变更；监督县人民政府、人民法院和人民检察院的工作，县人民代表大会代表，受理人民群众对上述机关和国家工作人员的申诉和意见。</w:t>
      </w:r>
    </w:p>
    <w:p>
      <w:pPr>
        <w:adjustRightInd/>
        <w:ind w:firstLine="640" w:firstLineChars="200"/>
        <w:rPr>
          <w:rFonts w:ascii="仿宋" w:hAnsi="仿宋" w:eastAsia="仿宋" w:cs="仿宋"/>
          <w:sz w:val="32"/>
          <w:szCs w:val="32"/>
        </w:rPr>
      </w:pPr>
      <w:r>
        <w:rPr>
          <w:rFonts w:hint="eastAsia" w:ascii="仿宋" w:hAnsi="仿宋" w:eastAsia="仿宋"/>
          <w:sz w:val="32"/>
          <w:szCs w:val="32"/>
        </w:rPr>
        <w:t>2.机构设置与人员情况：单位机构数1个，是财政全额拨款行政单位。人员情况：2017年初在职人员31人，(其中行政编20人，工勤编6人，事业编5人)。</w:t>
      </w:r>
    </w:p>
    <w:p>
      <w:pPr>
        <w:widowControl w:val="0"/>
        <w:adjustRightInd/>
        <w:snapToGrid/>
        <w:spacing w:after="0"/>
        <w:ind w:firstLine="640" w:firstLineChars="200"/>
        <w:jc w:val="both"/>
        <w:rPr>
          <w:rFonts w:ascii="仿宋" w:hAnsi="仿宋" w:eastAsia="仿宋"/>
          <w:sz w:val="32"/>
          <w:szCs w:val="32"/>
        </w:rPr>
      </w:pPr>
      <w:r>
        <w:rPr>
          <w:rFonts w:hint="eastAsia" w:ascii="仿宋" w:hAnsi="仿宋" w:eastAsia="仿宋"/>
          <w:sz w:val="32"/>
          <w:szCs w:val="32"/>
        </w:rPr>
        <w:t>二、预决算收支情况：</w:t>
      </w:r>
    </w:p>
    <w:p>
      <w:pPr>
        <w:adjustRightInd/>
        <w:ind w:firstLine="640" w:firstLineChars="200"/>
        <w:rPr>
          <w:rFonts w:ascii="仿宋" w:hAnsi="仿宋" w:eastAsia="仿宋"/>
          <w:sz w:val="32"/>
          <w:szCs w:val="32"/>
        </w:rPr>
      </w:pPr>
      <w:r>
        <w:rPr>
          <w:rFonts w:hint="eastAsia" w:ascii="仿宋" w:hAnsi="仿宋" w:eastAsia="仿宋"/>
          <w:sz w:val="32"/>
          <w:szCs w:val="32"/>
        </w:rPr>
        <w:t>人大办各项收入均为财政拨款收入，2017年度收入数4061304.09元，2016年度4249583.30元，减少188279.21元，变化原因为人员经费减少。2017年决算数4061304.09元，支出数为4061304.09元，没有变化。</w:t>
      </w:r>
    </w:p>
    <w:p>
      <w:pPr>
        <w:adjustRightInd/>
        <w:ind w:firstLine="640" w:firstLineChars="200"/>
        <w:rPr>
          <w:rFonts w:ascii="仿宋" w:hAnsi="仿宋" w:eastAsia="仿宋"/>
          <w:sz w:val="32"/>
          <w:szCs w:val="32"/>
        </w:rPr>
      </w:pPr>
      <w:r>
        <w:rPr>
          <w:rFonts w:hint="eastAsia" w:ascii="仿宋" w:hAnsi="仿宋" w:eastAsia="仿宋"/>
          <w:sz w:val="32"/>
          <w:szCs w:val="32"/>
        </w:rPr>
        <w:t>三、机关运行费情况</w:t>
      </w:r>
    </w:p>
    <w:p>
      <w:pPr>
        <w:adjustRightInd/>
        <w:ind w:firstLine="640" w:firstLineChars="200"/>
        <w:rPr>
          <w:rFonts w:ascii="仿宋" w:hAnsi="仿宋" w:eastAsia="仿宋"/>
          <w:sz w:val="32"/>
          <w:szCs w:val="32"/>
        </w:rPr>
      </w:pPr>
      <w:r>
        <w:rPr>
          <w:rFonts w:hint="eastAsia" w:ascii="仿宋" w:hAnsi="仿宋" w:eastAsia="仿宋"/>
          <w:sz w:val="32"/>
          <w:szCs w:val="32"/>
        </w:rPr>
        <w:t>人大办2017年度机关运行费249510.68元，2016年机关运行费用296061.2元，本年度单位严格遵照财政要求，来格内控制度，机关运行费</w:t>
      </w:r>
      <w:r>
        <w:rPr>
          <w:rFonts w:hint="eastAsia" w:ascii="仿宋" w:hAnsi="仿宋" w:eastAsia="仿宋"/>
          <w:sz w:val="32"/>
          <w:szCs w:val="32"/>
          <w:lang w:eastAsia="zh-CN"/>
        </w:rPr>
        <w:t>用</w:t>
      </w:r>
      <w:r>
        <w:rPr>
          <w:rFonts w:hint="eastAsia" w:ascii="仿宋" w:hAnsi="仿宋" w:eastAsia="仿宋"/>
          <w:sz w:val="32"/>
          <w:szCs w:val="32"/>
        </w:rPr>
        <w:t>支出减少。</w:t>
      </w:r>
    </w:p>
    <w:p>
      <w:pPr>
        <w:adjustRightInd/>
        <w:ind w:firstLine="640" w:firstLineChars="200"/>
        <w:rPr>
          <w:rFonts w:ascii="仿宋" w:hAnsi="仿宋" w:eastAsia="仿宋"/>
          <w:sz w:val="32"/>
          <w:szCs w:val="32"/>
        </w:rPr>
      </w:pPr>
      <w:r>
        <w:rPr>
          <w:rFonts w:hint="eastAsia" w:ascii="仿宋" w:hAnsi="仿宋" w:eastAsia="仿宋"/>
          <w:sz w:val="32"/>
          <w:szCs w:val="32"/>
        </w:rPr>
        <w:t>四、政府采购情况</w:t>
      </w:r>
    </w:p>
    <w:p>
      <w:pPr>
        <w:adjustRightInd/>
        <w:ind w:firstLine="640" w:firstLineChars="200"/>
        <w:rPr>
          <w:rFonts w:ascii="仿宋" w:hAnsi="仿宋" w:eastAsia="仿宋"/>
          <w:sz w:val="32"/>
          <w:szCs w:val="32"/>
        </w:rPr>
      </w:pPr>
      <w:r>
        <w:rPr>
          <w:rFonts w:hint="eastAsia" w:ascii="仿宋" w:hAnsi="仿宋" w:eastAsia="仿宋"/>
          <w:sz w:val="32"/>
          <w:szCs w:val="32"/>
        </w:rPr>
        <w:t>人大办2017年无政府采购安排。</w:t>
      </w:r>
    </w:p>
    <w:p>
      <w:pPr>
        <w:adjustRightInd/>
        <w:ind w:firstLine="640" w:firstLineChars="200"/>
        <w:rPr>
          <w:rFonts w:ascii="仿宋" w:hAnsi="仿宋" w:eastAsia="仿宋"/>
          <w:sz w:val="32"/>
          <w:szCs w:val="32"/>
        </w:rPr>
      </w:pPr>
      <w:r>
        <w:rPr>
          <w:rFonts w:hint="eastAsia" w:ascii="仿宋" w:hAnsi="仿宋" w:eastAsia="仿宋"/>
          <w:sz w:val="32"/>
          <w:szCs w:val="32"/>
        </w:rPr>
        <w:t>五、三公经费情况</w:t>
      </w:r>
    </w:p>
    <w:p>
      <w:pPr>
        <w:adjustRightInd/>
        <w:ind w:firstLine="640" w:firstLineChars="200"/>
        <w:rPr>
          <w:rFonts w:ascii="仿宋" w:hAnsi="仿宋" w:eastAsia="仿宋"/>
          <w:sz w:val="32"/>
          <w:szCs w:val="32"/>
        </w:rPr>
      </w:pPr>
      <w:r>
        <w:rPr>
          <w:rFonts w:hint="eastAsia" w:ascii="仿宋" w:hAnsi="仿宋" w:eastAsia="仿宋"/>
          <w:sz w:val="32"/>
          <w:szCs w:val="32"/>
        </w:rPr>
        <w:t>人大办</w:t>
      </w:r>
      <w:r>
        <w:rPr>
          <w:rFonts w:hint="eastAsia" w:ascii="仿宋" w:hAnsi="仿宋" w:eastAsia="仿宋"/>
          <w:sz w:val="32"/>
          <w:szCs w:val="32"/>
          <w:lang w:eastAsia="zh-CN"/>
        </w:rPr>
        <w:t>“三公”经费</w:t>
      </w:r>
      <w:r>
        <w:rPr>
          <w:rFonts w:hint="eastAsia" w:ascii="仿宋" w:hAnsi="仿宋" w:eastAsia="仿宋"/>
          <w:sz w:val="32"/>
          <w:szCs w:val="32"/>
        </w:rPr>
        <w:t>本年度为1000，2016年度为415000元，减少40500元，因为本年度参加公车改革，支出减少。</w:t>
      </w:r>
    </w:p>
    <w:p>
      <w:pPr>
        <w:adjustRightInd/>
        <w:ind w:firstLine="640" w:firstLineChars="200"/>
        <w:rPr>
          <w:rFonts w:ascii="仿宋" w:hAnsi="仿宋" w:eastAsia="仿宋"/>
          <w:sz w:val="32"/>
          <w:szCs w:val="32"/>
        </w:rPr>
      </w:pPr>
      <w:r>
        <w:rPr>
          <w:rFonts w:hint="eastAsia" w:ascii="仿宋" w:hAnsi="仿宋" w:eastAsia="仿宋"/>
          <w:sz w:val="32"/>
          <w:szCs w:val="32"/>
        </w:rPr>
        <w:t>六、国有资产占用情况</w:t>
      </w:r>
    </w:p>
    <w:p>
      <w:pPr>
        <w:adjustRightInd/>
        <w:ind w:firstLine="640" w:firstLineChars="200"/>
        <w:rPr>
          <w:rFonts w:ascii="仿宋" w:hAnsi="仿宋" w:eastAsia="仿宋"/>
          <w:sz w:val="32"/>
          <w:szCs w:val="32"/>
        </w:rPr>
      </w:pPr>
      <w:r>
        <w:rPr>
          <w:rFonts w:hint="eastAsia" w:ascii="仿宋" w:hAnsi="仿宋" w:eastAsia="仿宋"/>
          <w:sz w:val="32"/>
          <w:szCs w:val="32"/>
        </w:rPr>
        <w:t>人大办2017年有2台公务用车，在车改时已经上交到机关事务管理局，没有200万元以上设备。</w:t>
      </w:r>
    </w:p>
    <w:p>
      <w:pPr>
        <w:adjustRightInd/>
        <w:ind w:firstLine="640" w:firstLineChars="200"/>
        <w:rPr>
          <w:rFonts w:ascii="仿宋" w:hAnsi="仿宋" w:eastAsia="仿宋"/>
          <w:sz w:val="32"/>
          <w:szCs w:val="32"/>
        </w:rPr>
      </w:pPr>
      <w:r>
        <w:rPr>
          <w:rFonts w:hint="eastAsia" w:ascii="仿宋" w:hAnsi="仿宋" w:eastAsia="仿宋"/>
          <w:sz w:val="32"/>
          <w:szCs w:val="32"/>
        </w:rPr>
        <w:t>七、预算绩效管理工作开展情况</w:t>
      </w:r>
    </w:p>
    <w:p>
      <w:pPr>
        <w:ind w:firstLine="640" w:firstLineChars="200"/>
        <w:rPr>
          <w:rFonts w:ascii="仿宋" w:hAnsi="仿宋" w:eastAsia="仿宋" w:cs="宋体"/>
          <w:color w:val="000000"/>
          <w:sz w:val="32"/>
          <w:szCs w:val="32"/>
        </w:rPr>
      </w:pPr>
      <w:r>
        <w:rPr>
          <w:rFonts w:hint="eastAsia" w:ascii="仿宋" w:hAnsi="仿宋" w:eastAsia="仿宋" w:cs="宋体"/>
          <w:color w:val="000000"/>
          <w:sz w:val="32"/>
          <w:szCs w:val="32"/>
        </w:rPr>
        <w:t>本单位本年不涉及民生项目和重点支出项目，故无绩效评价情况公开。</w:t>
      </w:r>
    </w:p>
    <w:p>
      <w:pPr>
        <w:spacing w:line="560" w:lineRule="exact"/>
        <w:ind w:firstLine="640" w:firstLineChars="200"/>
        <w:rPr>
          <w:rFonts w:ascii="仿宋_GB2312" w:hAnsi="宋体" w:eastAsia="仿宋_GB2312"/>
          <w:sz w:val="32"/>
          <w:szCs w:val="32"/>
        </w:rPr>
      </w:pPr>
      <w:r>
        <w:rPr>
          <w:rFonts w:hint="eastAsia" w:ascii="仿宋" w:hAnsi="仿宋" w:eastAsia="仿宋"/>
          <w:sz w:val="32"/>
          <w:szCs w:val="32"/>
        </w:rPr>
        <w:t>八、</w:t>
      </w:r>
      <w:r>
        <w:rPr>
          <w:rFonts w:hint="eastAsia" w:ascii="仿宋_GB2312" w:hAnsi="宋体" w:eastAsia="仿宋_GB2312"/>
          <w:sz w:val="32"/>
          <w:szCs w:val="32"/>
        </w:rPr>
        <w:t>名词解释</w:t>
      </w:r>
    </w:p>
    <w:p>
      <w:pPr>
        <w:spacing w:line="560" w:lineRule="exact"/>
        <w:ind w:firstLine="642" w:firstLineChars="200"/>
        <w:rPr>
          <w:rFonts w:ascii="仿宋_GB2312" w:eastAsia="仿宋_GB2312"/>
          <w:sz w:val="32"/>
        </w:rPr>
      </w:pPr>
      <w:r>
        <w:rPr>
          <w:rFonts w:ascii="仿宋_GB2312" w:eastAsia="仿宋_GB2312"/>
          <w:b/>
          <w:sz w:val="32"/>
        </w:rPr>
        <w:t>1.财政拨款收入：</w:t>
      </w:r>
      <w:r>
        <w:rPr>
          <w:rFonts w:ascii="仿宋_GB2312" w:eastAsia="仿宋_GB2312"/>
          <w:sz w:val="32"/>
        </w:rPr>
        <w:t>指市级财政当年拨付的资金。</w:t>
      </w:r>
    </w:p>
    <w:p>
      <w:pPr>
        <w:spacing w:line="560" w:lineRule="exact"/>
        <w:ind w:firstLine="642" w:firstLineChars="200"/>
        <w:rPr>
          <w:rFonts w:ascii="仿宋_GB2312" w:eastAsia="仿宋_GB2312"/>
          <w:sz w:val="32"/>
        </w:rPr>
      </w:pPr>
      <w:r>
        <w:rPr>
          <w:rFonts w:ascii="仿宋_GB2312" w:eastAsia="仿宋_GB2312"/>
          <w:b/>
          <w:sz w:val="32"/>
        </w:rPr>
        <w:t>2.上级补助收入：</w:t>
      </w:r>
      <w:r>
        <w:rPr>
          <w:rFonts w:ascii="仿宋_GB2312" w:eastAsia="仿宋_GB2312"/>
          <w:sz w:val="32"/>
        </w:rPr>
        <w:t>指单位从主管部门和上级单位取得的非财政性补助收入。</w:t>
      </w:r>
    </w:p>
    <w:p>
      <w:pPr>
        <w:spacing w:line="560" w:lineRule="exact"/>
        <w:ind w:firstLine="642" w:firstLineChars="200"/>
        <w:rPr>
          <w:rFonts w:ascii="仿宋_GB2312" w:eastAsia="仿宋_GB2312"/>
          <w:sz w:val="32"/>
        </w:rPr>
      </w:pPr>
      <w:r>
        <w:rPr>
          <w:rFonts w:ascii="仿宋_GB2312" w:eastAsia="仿宋_GB2312"/>
          <w:b/>
          <w:sz w:val="32"/>
        </w:rPr>
        <w:t>3.事业收入：</w:t>
      </w:r>
      <w:r>
        <w:rPr>
          <w:rFonts w:ascii="仿宋_GB2312" w:eastAsia="仿宋_GB2312"/>
          <w:sz w:val="32"/>
        </w:rPr>
        <w:t>指事业单位开展专业业务活动及辅助活动所取得的收入。</w:t>
      </w:r>
    </w:p>
    <w:p>
      <w:pPr>
        <w:spacing w:line="560" w:lineRule="exact"/>
        <w:ind w:firstLine="642" w:firstLineChars="200"/>
        <w:rPr>
          <w:rFonts w:ascii="仿宋_GB2312" w:eastAsia="仿宋_GB2312"/>
          <w:sz w:val="32"/>
        </w:rPr>
      </w:pPr>
      <w:r>
        <w:rPr>
          <w:rFonts w:ascii="仿宋_GB2312" w:eastAsia="仿宋_GB2312"/>
          <w:b/>
          <w:sz w:val="32"/>
        </w:rPr>
        <w:t>4.经营收入：</w:t>
      </w:r>
      <w:r>
        <w:rPr>
          <w:rFonts w:ascii="仿宋_GB2312" w:eastAsia="仿宋_GB2312"/>
          <w:sz w:val="32"/>
        </w:rPr>
        <w:t>指事业单位在专业业务活动及辅助活动之外开展非独立核算经营活动取得的收入。</w:t>
      </w:r>
    </w:p>
    <w:p>
      <w:pPr>
        <w:spacing w:line="560" w:lineRule="exact"/>
        <w:ind w:firstLine="642" w:firstLineChars="200"/>
        <w:rPr>
          <w:rFonts w:ascii="仿宋_GB2312" w:eastAsia="仿宋_GB2312"/>
          <w:sz w:val="32"/>
        </w:rPr>
      </w:pPr>
      <w:r>
        <w:rPr>
          <w:rFonts w:ascii="仿宋_GB2312" w:eastAsia="仿宋_GB2312"/>
          <w:b/>
          <w:sz w:val="32"/>
        </w:rPr>
        <w:t>5.附属单位上缴收入：</w:t>
      </w:r>
      <w:r>
        <w:rPr>
          <w:rFonts w:ascii="仿宋_GB2312" w:eastAsia="仿宋_GB2312"/>
          <w:sz w:val="32"/>
        </w:rPr>
        <w:t>指单位附属的独立核算单位按照规定上缴的收入。</w:t>
      </w:r>
    </w:p>
    <w:p>
      <w:pPr>
        <w:spacing w:line="560" w:lineRule="exact"/>
        <w:ind w:firstLine="642" w:firstLineChars="200"/>
        <w:rPr>
          <w:rFonts w:ascii="仿宋_GB2312" w:eastAsia="仿宋_GB2312"/>
          <w:sz w:val="32"/>
        </w:rPr>
      </w:pPr>
      <w:r>
        <w:rPr>
          <w:rFonts w:ascii="仿宋_GB2312" w:eastAsia="仿宋_GB2312"/>
          <w:b/>
          <w:sz w:val="32"/>
        </w:rPr>
        <w:t>6.其他收入：</w:t>
      </w:r>
      <w:r>
        <w:rPr>
          <w:rFonts w:ascii="仿宋_GB2312" w:eastAsia="仿宋_GB2312"/>
          <w:sz w:val="32"/>
        </w:rPr>
        <w:t>指除上述“财政拨款收入”、</w:t>
      </w:r>
      <w:r>
        <w:rPr>
          <w:rFonts w:ascii="仿宋_GB2312" w:eastAsia="仿宋_GB2312"/>
          <w:b/>
          <w:sz w:val="32"/>
        </w:rPr>
        <w:t xml:space="preserve"> </w:t>
      </w:r>
      <w:r>
        <w:rPr>
          <w:rFonts w:ascii="仿宋_GB2312" w:eastAsia="仿宋_GB2312"/>
          <w:sz w:val="32"/>
        </w:rPr>
        <w:t>“上级补助收入”、“事业收入”、“经营收入”、“附属单位上缴收入”等以外的收入。</w:t>
      </w:r>
    </w:p>
    <w:p>
      <w:pPr>
        <w:spacing w:line="560" w:lineRule="exact"/>
        <w:ind w:firstLine="642" w:firstLineChars="200"/>
        <w:rPr>
          <w:rFonts w:ascii="仿宋_GB2312" w:eastAsia="仿宋_GB2312"/>
          <w:sz w:val="32"/>
        </w:rPr>
      </w:pPr>
      <w:r>
        <w:rPr>
          <w:rFonts w:ascii="仿宋_GB2312" w:eastAsia="仿宋_GB2312"/>
          <w:b/>
          <w:sz w:val="32"/>
        </w:rPr>
        <w:t>7.用事业基金弥补收支差额：</w:t>
      </w:r>
      <w:r>
        <w:rPr>
          <w:rFonts w:ascii="仿宋_GB2312" w:eastAsia="仿宋_GB2312"/>
          <w:sz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pPr>
        <w:spacing w:line="560" w:lineRule="exact"/>
        <w:ind w:firstLine="642" w:firstLineChars="200"/>
        <w:rPr>
          <w:rFonts w:ascii="仿宋_GB2312" w:eastAsia="仿宋_GB2312"/>
          <w:sz w:val="32"/>
        </w:rPr>
      </w:pPr>
      <w:r>
        <w:rPr>
          <w:rFonts w:ascii="仿宋_GB2312" w:eastAsia="仿宋_GB2312"/>
          <w:b/>
          <w:sz w:val="32"/>
        </w:rPr>
        <w:t>8.上年结转和结余：</w:t>
      </w:r>
      <w:r>
        <w:rPr>
          <w:rFonts w:ascii="仿宋_GB2312" w:eastAsia="仿宋_GB2312"/>
          <w:sz w:val="32"/>
        </w:rPr>
        <w:t>指以前年度尚未完成、结转到本年按有关规定继续使用的资金。</w:t>
      </w:r>
    </w:p>
    <w:p>
      <w:pPr>
        <w:spacing w:line="560" w:lineRule="exact"/>
        <w:ind w:firstLine="642" w:firstLineChars="200"/>
        <w:rPr>
          <w:rFonts w:ascii="仿宋_GB2312" w:eastAsia="仿宋_GB2312"/>
          <w:sz w:val="32"/>
        </w:rPr>
      </w:pPr>
      <w:r>
        <w:rPr>
          <w:rFonts w:ascii="仿宋_GB2312" w:eastAsia="仿宋_GB2312"/>
          <w:b/>
          <w:sz w:val="32"/>
        </w:rPr>
        <w:t>9.基本支出：</w:t>
      </w:r>
      <w:r>
        <w:rPr>
          <w:rFonts w:ascii="仿宋_GB2312" w:eastAsia="仿宋_GB2312"/>
          <w:sz w:val="32"/>
        </w:rPr>
        <w:t>指保障机构正常运转、完成日常工作任务而发生的人员支出和公用支出。</w:t>
      </w:r>
    </w:p>
    <w:p>
      <w:pPr>
        <w:spacing w:line="560" w:lineRule="exact"/>
        <w:ind w:firstLine="642" w:firstLineChars="200"/>
        <w:rPr>
          <w:rFonts w:ascii="仿宋_GB2312" w:eastAsia="仿宋_GB2312"/>
          <w:b/>
          <w:sz w:val="32"/>
        </w:rPr>
      </w:pPr>
      <w:r>
        <w:rPr>
          <w:rFonts w:ascii="仿宋_GB2312" w:eastAsia="仿宋_GB2312"/>
          <w:b/>
          <w:sz w:val="32"/>
        </w:rPr>
        <w:t>10.项目支出：</w:t>
      </w:r>
      <w:r>
        <w:rPr>
          <w:rFonts w:ascii="仿宋_GB2312" w:eastAsia="仿宋_GB2312"/>
          <w:sz w:val="32"/>
        </w:rPr>
        <w:t>指在基本支出之外为完成特定行政任务和事业发展目标所发生的支出。</w:t>
      </w:r>
    </w:p>
    <w:p>
      <w:pPr>
        <w:spacing w:line="560" w:lineRule="exact"/>
        <w:ind w:firstLine="642" w:firstLineChars="200"/>
        <w:rPr>
          <w:rFonts w:ascii="仿宋_GB2312" w:eastAsia="仿宋_GB2312"/>
          <w:sz w:val="32"/>
        </w:rPr>
      </w:pPr>
      <w:r>
        <w:rPr>
          <w:rFonts w:ascii="仿宋_GB2312" w:eastAsia="仿宋_GB2312"/>
          <w:b/>
          <w:sz w:val="32"/>
        </w:rPr>
        <w:t>11.“三公”经费：</w:t>
      </w:r>
      <w:r>
        <w:rPr>
          <w:rFonts w:ascii="仿宋_GB2312" w:eastAsia="仿宋_GB2312"/>
          <w:sz w:val="32"/>
        </w:rPr>
        <w:t>指用财政拨款安排的因公出国（境）费、公务用车购置及运行费和公务接待费。其中，因公出国（境）费反应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60" w:lineRule="exact"/>
        <w:ind w:firstLine="642" w:firstLineChars="200"/>
        <w:rPr>
          <w:rFonts w:ascii="仿宋_GB2312" w:eastAsia="仿宋_GB2312"/>
          <w:b/>
          <w:sz w:val="32"/>
        </w:rPr>
      </w:pPr>
      <w:r>
        <w:rPr>
          <w:rFonts w:ascii="仿宋_GB2312" w:eastAsia="仿宋_GB2312"/>
          <w:b/>
          <w:sz w:val="32"/>
        </w:rPr>
        <w:t>12.一般公共服务（类）财政事务（款）行政运行（项）：</w:t>
      </w:r>
      <w:r>
        <w:rPr>
          <w:rFonts w:ascii="仿宋_GB2312" w:eastAsia="仿宋_GB2312"/>
          <w:sz w:val="32"/>
        </w:rPr>
        <w:t>反映行政单位（包括实行公务员管理的事业单位）的基本支出。</w:t>
      </w:r>
    </w:p>
    <w:p>
      <w:pPr>
        <w:spacing w:line="560" w:lineRule="exact"/>
        <w:ind w:firstLine="642" w:firstLineChars="200"/>
        <w:rPr>
          <w:rFonts w:ascii="仿宋_GB2312" w:eastAsia="仿宋_GB2312"/>
          <w:b/>
          <w:sz w:val="32"/>
        </w:rPr>
      </w:pPr>
      <w:r>
        <w:rPr>
          <w:rFonts w:ascii="仿宋_GB2312" w:eastAsia="仿宋_GB2312"/>
          <w:b/>
          <w:sz w:val="32"/>
        </w:rPr>
        <w:t>13.一般公共服务（类）财政事务（款）一般行政管理事务（项）：</w:t>
      </w:r>
      <w:r>
        <w:rPr>
          <w:rFonts w:ascii="仿宋_GB2312" w:eastAsia="仿宋_GB2312"/>
          <w:sz w:val="32"/>
        </w:rPr>
        <w:t>反映行政单位（包括实行公务员管理的事业单位）未单独设置项级科目的其他项目支出。</w:t>
      </w:r>
    </w:p>
    <w:p>
      <w:pPr>
        <w:spacing w:line="560" w:lineRule="exact"/>
        <w:ind w:firstLine="642" w:firstLineChars="200"/>
        <w:rPr>
          <w:rFonts w:ascii="仿宋_GB2312" w:eastAsia="仿宋_GB2312"/>
          <w:b/>
          <w:sz w:val="32"/>
        </w:rPr>
      </w:pPr>
      <w:r>
        <w:rPr>
          <w:rFonts w:ascii="仿宋_GB2312" w:eastAsia="仿宋_GB2312"/>
          <w:b/>
          <w:sz w:val="32"/>
        </w:rPr>
        <w:t>14.一般公共服务（类）财政事务（款）预算改革业务（项）：</w:t>
      </w:r>
      <w:r>
        <w:rPr>
          <w:rFonts w:ascii="仿宋_GB2312" w:eastAsia="仿宋_GB2312"/>
          <w:sz w:val="32"/>
        </w:rPr>
        <w:t>反映财政部门用于预算改革方面的支出。</w:t>
      </w:r>
    </w:p>
    <w:p>
      <w:pPr>
        <w:spacing w:line="560" w:lineRule="exact"/>
        <w:ind w:firstLine="642" w:firstLineChars="200"/>
        <w:rPr>
          <w:rFonts w:ascii="仿宋_GB2312" w:eastAsia="仿宋_GB2312"/>
          <w:b/>
          <w:sz w:val="32"/>
        </w:rPr>
      </w:pPr>
      <w:r>
        <w:rPr>
          <w:rFonts w:ascii="仿宋_GB2312" w:eastAsia="仿宋_GB2312"/>
          <w:b/>
          <w:sz w:val="32"/>
        </w:rPr>
        <w:t>15.一般公共服务（类）财政事务（款）财政国库业务（项）：</w:t>
      </w:r>
      <w:r>
        <w:rPr>
          <w:rFonts w:ascii="仿宋_GB2312" w:eastAsia="仿宋_GB2312"/>
          <w:sz w:val="32"/>
        </w:rPr>
        <w:t>反映财政部门用于财政国库集中收付业务方面的支出。</w:t>
      </w:r>
    </w:p>
    <w:p>
      <w:pPr>
        <w:spacing w:line="560" w:lineRule="exact"/>
        <w:ind w:firstLine="642" w:firstLineChars="200"/>
        <w:rPr>
          <w:rFonts w:ascii="仿宋_GB2312" w:eastAsia="仿宋_GB2312"/>
          <w:sz w:val="32"/>
        </w:rPr>
      </w:pPr>
      <w:r>
        <w:rPr>
          <w:rFonts w:ascii="仿宋_GB2312" w:eastAsia="仿宋_GB2312"/>
          <w:b/>
          <w:sz w:val="32"/>
        </w:rPr>
        <w:t>16.一般公共服务（类）财政事务（款）信息化建设支（项）：</w:t>
      </w:r>
      <w:r>
        <w:rPr>
          <w:rFonts w:ascii="仿宋_GB2312" w:eastAsia="仿宋_GB2312"/>
          <w:sz w:val="32"/>
        </w:rPr>
        <w:t>反映财政部门用于“金财工程”等信息化建设方面的支出。</w:t>
      </w:r>
    </w:p>
    <w:p>
      <w:pPr>
        <w:spacing w:line="560" w:lineRule="exact"/>
        <w:ind w:firstLine="642" w:firstLineChars="200"/>
        <w:rPr>
          <w:rFonts w:ascii="仿宋_GB2312" w:eastAsia="仿宋_GB2312"/>
          <w:b/>
          <w:sz w:val="32"/>
        </w:rPr>
      </w:pPr>
      <w:r>
        <w:rPr>
          <w:rFonts w:ascii="仿宋_GB2312" w:eastAsia="仿宋_GB2312"/>
          <w:b/>
          <w:sz w:val="32"/>
        </w:rPr>
        <w:t>17.一般公共服务（类）财政事务（款）事业运行（项）：</w:t>
      </w:r>
      <w:r>
        <w:rPr>
          <w:rFonts w:ascii="仿宋_GB2312" w:eastAsia="仿宋_GB2312"/>
          <w:sz w:val="32"/>
        </w:rPr>
        <w:t>反映事业单位的基本支出，不包括行政单位（包括实行公务员管理的事业单位）后勤服务中心、医务室等附属事业单位。</w:t>
      </w:r>
    </w:p>
    <w:p>
      <w:pPr>
        <w:spacing w:line="560" w:lineRule="exact"/>
        <w:ind w:firstLine="642" w:firstLineChars="200"/>
        <w:rPr>
          <w:rFonts w:ascii="仿宋_GB2312" w:eastAsia="仿宋_GB2312"/>
          <w:sz w:val="32"/>
        </w:rPr>
      </w:pPr>
      <w:r>
        <w:rPr>
          <w:rFonts w:ascii="仿宋_GB2312" w:eastAsia="仿宋_GB2312"/>
          <w:b/>
          <w:sz w:val="32"/>
        </w:rPr>
        <w:t>18.一般公共服务（类）财政事务（款）其他财政事务支出（项）：</w:t>
      </w:r>
      <w:r>
        <w:rPr>
          <w:rFonts w:ascii="仿宋_GB2312" w:eastAsia="仿宋_GB2312"/>
          <w:sz w:val="32"/>
        </w:rPr>
        <w:t>反映除上述项目以外其他财政事务方面的支出。</w:t>
      </w:r>
    </w:p>
    <w:p>
      <w:pPr>
        <w:spacing w:line="560" w:lineRule="exact"/>
        <w:ind w:firstLine="642" w:firstLineChars="200"/>
        <w:rPr>
          <w:rFonts w:ascii="仿宋_GB2312" w:eastAsia="仿宋_GB2312"/>
          <w:sz w:val="32"/>
        </w:rPr>
      </w:pPr>
      <w:r>
        <w:rPr>
          <w:rFonts w:ascii="仿宋_GB2312" w:eastAsia="仿宋_GB2312"/>
          <w:b/>
          <w:sz w:val="32"/>
        </w:rPr>
        <w:t>19.一般公共服务（类）其他一般公共服务支出（款）其他一般公共服务支出（项）：</w:t>
      </w:r>
      <w:r>
        <w:rPr>
          <w:rFonts w:ascii="仿宋_GB2312" w:eastAsia="仿宋_GB2312"/>
          <w:sz w:val="32"/>
        </w:rPr>
        <w:t>反映除上述项目以外的其他一般公共服务支出。</w:t>
      </w:r>
    </w:p>
    <w:p>
      <w:pPr>
        <w:spacing w:line="560" w:lineRule="exact"/>
        <w:ind w:firstLine="642" w:firstLineChars="200"/>
        <w:rPr>
          <w:rFonts w:ascii="仿宋_GB2312" w:eastAsia="仿宋_GB2312"/>
          <w:sz w:val="32"/>
        </w:rPr>
      </w:pPr>
      <w:r>
        <w:rPr>
          <w:rFonts w:ascii="仿宋_GB2312" w:eastAsia="仿宋_GB2312"/>
          <w:b/>
          <w:sz w:val="32"/>
        </w:rPr>
        <w:t>20.科学技术（类）其他科学技术支出（款）其他科学技术支出（项）：</w:t>
      </w:r>
      <w:r>
        <w:rPr>
          <w:rFonts w:ascii="仿宋_GB2312" w:eastAsia="仿宋_GB2312"/>
          <w:sz w:val="32"/>
        </w:rPr>
        <w:t>反映其他用于科技方面的支出。</w:t>
      </w:r>
    </w:p>
    <w:p>
      <w:pPr>
        <w:spacing w:line="560" w:lineRule="exact"/>
        <w:ind w:firstLine="642" w:firstLineChars="200"/>
        <w:rPr>
          <w:rFonts w:ascii="仿宋_GB2312" w:eastAsia="仿宋_GB2312"/>
          <w:b/>
          <w:sz w:val="32"/>
        </w:rPr>
      </w:pPr>
      <w:r>
        <w:rPr>
          <w:rFonts w:ascii="仿宋_GB2312" w:eastAsia="仿宋_GB2312"/>
          <w:b/>
          <w:sz w:val="32"/>
        </w:rPr>
        <w:t>21.社会保障和就业（类）行政事业单位离退休（款）归口管理的行政单位离退休（项）：</w:t>
      </w:r>
      <w:r>
        <w:rPr>
          <w:rFonts w:ascii="仿宋_GB2312" w:eastAsia="仿宋_GB2312"/>
          <w:sz w:val="32"/>
        </w:rPr>
        <w:t>反映实行归口管理的行政单位（包括实行公务员管理的事业单位）开支的离退休经费。</w:t>
      </w:r>
    </w:p>
    <w:p>
      <w:pPr>
        <w:spacing w:line="560" w:lineRule="exact"/>
        <w:ind w:firstLine="642" w:firstLineChars="200"/>
        <w:rPr>
          <w:rFonts w:ascii="仿宋_GB2312" w:eastAsia="仿宋_GB2312"/>
          <w:b/>
          <w:sz w:val="32"/>
        </w:rPr>
      </w:pPr>
      <w:r>
        <w:rPr>
          <w:rFonts w:ascii="仿宋_GB2312" w:eastAsia="仿宋_GB2312"/>
          <w:b/>
          <w:sz w:val="32"/>
        </w:rPr>
        <w:t>22.社会保障和就业（类）行政事业单位离退休（款）事业单位离退休（项）：</w:t>
      </w:r>
      <w:r>
        <w:rPr>
          <w:rFonts w:ascii="仿宋_GB2312" w:eastAsia="仿宋_GB2312"/>
          <w:sz w:val="32"/>
        </w:rPr>
        <w:t>反映实行归口管理的事业单位开支的离退休经费。</w:t>
      </w:r>
    </w:p>
    <w:p>
      <w:pPr>
        <w:spacing w:line="560" w:lineRule="exact"/>
        <w:ind w:firstLine="642" w:firstLineChars="200"/>
        <w:rPr>
          <w:rFonts w:ascii="仿宋_GB2312" w:eastAsia="仿宋_GB2312"/>
          <w:sz w:val="32"/>
        </w:rPr>
      </w:pPr>
      <w:r>
        <w:rPr>
          <w:rFonts w:ascii="仿宋_GB2312" w:eastAsia="仿宋_GB2312"/>
          <w:b/>
          <w:sz w:val="32"/>
        </w:rPr>
        <w:t>23.医疗卫生（类）医疗保障（款）行政单位医疗（项）：</w:t>
      </w:r>
      <w:r>
        <w:rPr>
          <w:rFonts w:ascii="仿宋_GB2312" w:eastAsia="仿宋_GB2312"/>
          <w:sz w:val="32"/>
        </w:rPr>
        <w:t>反映财政部门集中安排的行政单位基本医疗保险缴费经费，未参加医疗保险的行政单位的公费医疗经费，按国家规定享受离休人员、红军老战士待遇人员的医疗经费。</w:t>
      </w:r>
    </w:p>
    <w:p>
      <w:pPr>
        <w:spacing w:line="560" w:lineRule="exact"/>
        <w:ind w:firstLine="642" w:firstLineChars="200"/>
        <w:rPr>
          <w:rFonts w:ascii="仿宋_GB2312" w:eastAsia="仿宋_GB2312"/>
          <w:sz w:val="32"/>
        </w:rPr>
      </w:pPr>
      <w:r>
        <w:rPr>
          <w:rFonts w:ascii="仿宋_GB2312" w:eastAsia="仿宋_GB2312"/>
          <w:b/>
          <w:sz w:val="32"/>
        </w:rPr>
        <w:t>24.医疗卫生（类）其他医疗卫生支出（款）其他医疗卫生支出（项）：</w:t>
      </w:r>
      <w:r>
        <w:rPr>
          <w:rFonts w:ascii="仿宋_GB2312" w:eastAsia="仿宋_GB2312"/>
          <w:sz w:val="32"/>
        </w:rPr>
        <w:t>反映除上述项目以外其他用于医疗卫生方面的支出。</w:t>
      </w:r>
    </w:p>
    <w:p>
      <w:pPr>
        <w:spacing w:line="560" w:lineRule="exact"/>
        <w:ind w:firstLine="642" w:firstLineChars="200"/>
        <w:rPr>
          <w:rFonts w:ascii="仿宋_GB2312" w:eastAsia="仿宋_GB2312"/>
          <w:sz w:val="32"/>
        </w:rPr>
      </w:pPr>
      <w:r>
        <w:rPr>
          <w:rFonts w:ascii="仿宋_GB2312" w:eastAsia="仿宋_GB2312"/>
          <w:b/>
          <w:sz w:val="32"/>
        </w:rPr>
        <w:t>25.农林水事务（类）农业（款）其他农业支出（项）：</w:t>
      </w:r>
      <w:r>
        <w:rPr>
          <w:rFonts w:ascii="仿宋_GB2312" w:eastAsia="仿宋_GB2312"/>
          <w:sz w:val="32"/>
        </w:rPr>
        <w:t>反映其他用于农业方面的支出。</w:t>
      </w:r>
    </w:p>
    <w:p>
      <w:pPr>
        <w:spacing w:line="560" w:lineRule="exact"/>
        <w:ind w:firstLine="642" w:firstLineChars="200"/>
        <w:rPr>
          <w:rFonts w:ascii="仿宋_GB2312" w:eastAsia="仿宋_GB2312"/>
          <w:sz w:val="32"/>
        </w:rPr>
      </w:pPr>
      <w:r>
        <w:rPr>
          <w:rFonts w:ascii="仿宋_GB2312" w:eastAsia="仿宋_GB2312"/>
          <w:b/>
          <w:sz w:val="32"/>
        </w:rPr>
        <w:t>26.交通运输（类）石油价格改革对交通运输的补贴（款）石油价格改革补贴其他支出（项）：</w:t>
      </w:r>
      <w:r>
        <w:rPr>
          <w:rFonts w:ascii="仿宋_GB2312" w:eastAsia="仿宋_GB2312"/>
          <w:sz w:val="32"/>
        </w:rPr>
        <w:t>反映石油价格改革财政补贴对其他方面的支出。</w:t>
      </w:r>
    </w:p>
    <w:p>
      <w:pPr>
        <w:spacing w:line="560" w:lineRule="exact"/>
        <w:ind w:firstLine="642" w:firstLineChars="200"/>
        <w:rPr>
          <w:rFonts w:ascii="仿宋_GB2312" w:eastAsia="仿宋_GB2312"/>
          <w:sz w:val="32"/>
        </w:rPr>
      </w:pPr>
      <w:r>
        <w:rPr>
          <w:rFonts w:ascii="仿宋_GB2312" w:eastAsia="仿宋_GB2312"/>
          <w:b/>
          <w:sz w:val="32"/>
        </w:rPr>
        <w:t>27.资源勘探电力信息等事务（类）工业和信息产业监管支出（款）其他工业和信息产业监管支出（项）：</w:t>
      </w:r>
      <w:r>
        <w:rPr>
          <w:rFonts w:ascii="仿宋_GB2312" w:eastAsia="仿宋_GB2312"/>
          <w:sz w:val="32"/>
        </w:rPr>
        <w:t>反映其他用于工业和信息产业监管方面的支出。</w:t>
      </w:r>
    </w:p>
    <w:p>
      <w:pPr>
        <w:spacing w:line="560" w:lineRule="exact"/>
        <w:ind w:firstLine="642" w:firstLineChars="200"/>
        <w:rPr>
          <w:rFonts w:ascii="仿宋_GB2312" w:eastAsia="仿宋_GB2312"/>
          <w:sz w:val="32"/>
        </w:rPr>
      </w:pPr>
      <w:r>
        <w:rPr>
          <w:rFonts w:ascii="仿宋_GB2312" w:eastAsia="仿宋_GB2312"/>
          <w:b/>
          <w:sz w:val="32"/>
        </w:rPr>
        <w:t>28.商业服务业等事务（类）商业流通事务（款）其他商业流通事务支出（项）：</w:t>
      </w:r>
      <w:r>
        <w:rPr>
          <w:rFonts w:ascii="仿宋_GB2312" w:eastAsia="仿宋_GB2312"/>
          <w:sz w:val="32"/>
        </w:rPr>
        <w:t>反映其他用于商业流通事务方面的支出。</w:t>
      </w:r>
    </w:p>
    <w:p>
      <w:pPr>
        <w:spacing w:line="560" w:lineRule="exact"/>
        <w:ind w:firstLine="642" w:firstLineChars="200"/>
        <w:rPr>
          <w:rFonts w:ascii="仿宋_GB2312" w:eastAsia="仿宋_GB2312"/>
          <w:sz w:val="32"/>
        </w:rPr>
      </w:pPr>
      <w:r>
        <w:rPr>
          <w:rFonts w:ascii="仿宋_GB2312" w:eastAsia="仿宋_GB2312"/>
          <w:b/>
          <w:sz w:val="32"/>
        </w:rPr>
        <w:t>29. 商业服务业等事务（类）商业流通事务（款）其他涉外发展服务支出（项）：</w:t>
      </w:r>
      <w:r>
        <w:rPr>
          <w:rFonts w:ascii="仿宋_GB2312" w:eastAsia="仿宋_GB2312"/>
          <w:sz w:val="32"/>
        </w:rPr>
        <w:t>反映其他用于涉外发展服务方面的支出。</w:t>
      </w:r>
    </w:p>
    <w:p>
      <w:pPr>
        <w:spacing w:line="560" w:lineRule="exact"/>
        <w:ind w:firstLine="642" w:firstLineChars="200"/>
        <w:rPr>
          <w:rFonts w:ascii="仿宋_GB2312" w:eastAsia="仿宋_GB2312"/>
          <w:sz w:val="32"/>
        </w:rPr>
      </w:pPr>
      <w:r>
        <w:rPr>
          <w:rFonts w:ascii="仿宋_GB2312" w:eastAsia="仿宋_GB2312"/>
          <w:b/>
          <w:sz w:val="32"/>
        </w:rPr>
        <w:t>30. 国土资源气象等事务（类）国土资源事务（款）其他国土资源事务支出（项）：</w:t>
      </w:r>
      <w:r>
        <w:rPr>
          <w:rFonts w:ascii="仿宋_GB2312" w:eastAsia="仿宋_GB2312"/>
          <w:sz w:val="32"/>
        </w:rPr>
        <w:t>反映其他用于国土资源事务方面的支出。</w:t>
      </w:r>
    </w:p>
    <w:p>
      <w:pPr>
        <w:spacing w:line="560" w:lineRule="exact"/>
        <w:ind w:firstLine="642" w:firstLineChars="200"/>
        <w:rPr>
          <w:rFonts w:ascii="仿宋_GB2312" w:eastAsia="仿宋_GB2312"/>
          <w:b/>
          <w:sz w:val="32"/>
        </w:rPr>
      </w:pPr>
      <w:r>
        <w:rPr>
          <w:rFonts w:ascii="仿宋_GB2312" w:eastAsia="仿宋_GB2312"/>
          <w:b/>
          <w:sz w:val="32"/>
        </w:rPr>
        <w:t>31.住房保障（类）住房改革（款）住房公积金（项）：</w:t>
      </w:r>
      <w:r>
        <w:rPr>
          <w:rFonts w:ascii="仿宋_GB2312" w:eastAsia="仿宋_GB2312"/>
          <w:sz w:val="32"/>
        </w:rPr>
        <w:t>反映行政事业单位按人力资源和社会保障部、财政部规定的基本工资和津贴补贴以及规定比例为职工缴纳的住房公积金。</w:t>
      </w:r>
    </w:p>
    <w:p>
      <w:pPr>
        <w:spacing w:line="560" w:lineRule="exact"/>
        <w:ind w:firstLine="642" w:firstLineChars="200"/>
        <w:rPr>
          <w:rFonts w:ascii="仿宋_GB2312" w:eastAsia="仿宋_GB2312"/>
          <w:sz w:val="32"/>
        </w:rPr>
      </w:pPr>
      <w:r>
        <w:rPr>
          <w:rFonts w:ascii="仿宋_GB2312" w:eastAsia="仿宋_GB2312"/>
          <w:b/>
          <w:sz w:val="32"/>
        </w:rPr>
        <w:t>32.其他支出（类）其他支出（款）其他支出（项）：</w:t>
      </w:r>
      <w:r>
        <w:rPr>
          <w:rFonts w:ascii="仿宋_GB2312" w:eastAsia="仿宋_GB2312"/>
          <w:sz w:val="32"/>
        </w:rPr>
        <w:t>反映其他不能划分到具体功能科目中的支出项目。</w:t>
      </w:r>
    </w:p>
    <w:p>
      <w:pPr>
        <w:spacing w:line="560" w:lineRule="exact"/>
        <w:ind w:firstLine="642" w:firstLineChars="200"/>
        <w:rPr>
          <w:rFonts w:ascii="仿宋_GB2312" w:eastAsia="仿宋_GB2312"/>
          <w:sz w:val="32"/>
        </w:rPr>
      </w:pPr>
      <w:r>
        <w:rPr>
          <w:rFonts w:ascii="仿宋_GB2312" w:eastAsia="仿宋_GB2312"/>
          <w:b/>
          <w:sz w:val="32"/>
        </w:rPr>
        <w:t>33.机关运行经费：</w:t>
      </w:r>
      <w:r>
        <w:rPr>
          <w:rFonts w:ascii="仿宋_GB2312" w:eastAsia="仿宋_GB2312"/>
          <w:sz w:val="32"/>
        </w:rPr>
        <w:t>为保障行政单位（含参照公务员法管理的事业单位）运行用于购买货物和服务的各项资金，包括办公及印刷费、邮电费、差旅费、会议费、福利费、日常维护费、专用材料及一般设备购置费，办公用房水电费、办公用房取暖费、办公用房物业管理费、公务用车运行维护费以及其他费用。</w:t>
      </w:r>
    </w:p>
    <w:p>
      <w:pPr>
        <w:spacing w:line="560" w:lineRule="exact"/>
        <w:ind w:firstLine="720" w:firstLineChars="200"/>
        <w:rPr>
          <w:rFonts w:ascii="黑体" w:eastAsia="黑体"/>
          <w:sz w:val="36"/>
        </w:rPr>
      </w:pPr>
    </w:p>
    <w:p>
      <w:pPr>
        <w:adjustRightInd/>
        <w:ind w:firstLine="640" w:firstLineChars="200"/>
        <w:rPr>
          <w:rFonts w:ascii="仿宋" w:hAnsi="仿宋" w:eastAsia="仿宋"/>
          <w:sz w:val="32"/>
          <w:szCs w:val="32"/>
        </w:rPr>
      </w:pPr>
    </w:p>
    <w:p>
      <w:pPr>
        <w:adjustRightInd/>
        <w:ind w:firstLine="640" w:firstLineChars="200"/>
        <w:rPr>
          <w:rFonts w:ascii="仿宋" w:hAnsi="仿宋" w:eastAsia="仿宋"/>
          <w:sz w:val="32"/>
          <w:szCs w:val="32"/>
        </w:rPr>
      </w:pPr>
    </w:p>
    <w:p>
      <w:pPr>
        <w:adjustRightInd/>
        <w:ind w:firstLine="2560" w:firstLineChars="800"/>
        <w:rPr>
          <w:rFonts w:ascii="仿宋" w:hAnsi="仿宋" w:eastAsia="仿宋"/>
          <w:sz w:val="32"/>
          <w:szCs w:val="32"/>
        </w:rPr>
      </w:pPr>
      <w:bookmarkStart w:id="0" w:name="_GoBack"/>
      <w:bookmarkEnd w:id="0"/>
      <w:r>
        <w:rPr>
          <w:rFonts w:hint="eastAsia" w:ascii="仿宋" w:hAnsi="仿宋" w:eastAsia="仿宋"/>
          <w:sz w:val="32"/>
          <w:szCs w:val="32"/>
        </w:rPr>
        <w:t>康平县人民代表大会常务委员会</w:t>
      </w:r>
    </w:p>
    <w:p>
      <w:pPr>
        <w:adjustRightInd/>
        <w:ind w:firstLine="4480" w:firstLineChars="1400"/>
        <w:rPr>
          <w:rFonts w:ascii="仿宋" w:hAnsi="仿宋" w:eastAsia="仿宋"/>
          <w:sz w:val="32"/>
          <w:szCs w:val="32"/>
        </w:rPr>
      </w:pPr>
      <w:r>
        <w:rPr>
          <w:rFonts w:hint="eastAsia" w:ascii="仿宋" w:hAnsi="仿宋" w:eastAsia="仿宋"/>
          <w:sz w:val="32"/>
          <w:szCs w:val="32"/>
        </w:rPr>
        <w:t>2018年6月19日</w:t>
      </w:r>
    </w:p>
    <w:p>
      <w:pPr>
        <w:adjustRightInd/>
        <w:spacing w:line="220" w:lineRule="atLeast"/>
        <w:rPr>
          <w:rFonts w:ascii="仿宋" w:hAnsi="仿宋" w:eastAsia="仿宋"/>
          <w:sz w:val="32"/>
          <w:szCs w:val="32"/>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604674"/>
      <w:docPartObj>
        <w:docPartGallery w:val="autotext"/>
      </w:docPartObj>
    </w:sdtPr>
    <w:sdtContent>
      <w:p>
        <w:pPr>
          <w:pStyle w:val="2"/>
          <w:jc w:val="center"/>
        </w:pPr>
        <w:r>
          <w:fldChar w:fldCharType="begin"/>
        </w:r>
        <w:r>
          <w:instrText xml:space="preserve"> PAGE   \* MERGEFORMAT </w:instrText>
        </w:r>
        <w:r>
          <w:fldChar w:fldCharType="separate"/>
        </w:r>
        <w:r>
          <w:rPr>
            <w:lang w:val="zh-CN"/>
          </w:rPr>
          <w:t>2</w:t>
        </w:r>
        <w:r>
          <w:rPr>
            <w:lang w:val="zh-CN"/>
          </w:rPr>
          <w:fldChar w:fldCharType="end"/>
        </w:r>
      </w:p>
    </w:sdtContent>
  </w:sdt>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064634"/>
    <w:multiLevelType w:val="multilevel"/>
    <w:tmpl w:val="3D064634"/>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D31D50"/>
    <w:rsid w:val="00032143"/>
    <w:rsid w:val="000564BD"/>
    <w:rsid w:val="000E7DD2"/>
    <w:rsid w:val="001215B2"/>
    <w:rsid w:val="001340B7"/>
    <w:rsid w:val="001A49C1"/>
    <w:rsid w:val="001B7FE0"/>
    <w:rsid w:val="00231E23"/>
    <w:rsid w:val="00286659"/>
    <w:rsid w:val="002A5DC0"/>
    <w:rsid w:val="002C6098"/>
    <w:rsid w:val="00315E40"/>
    <w:rsid w:val="00323B43"/>
    <w:rsid w:val="00325A72"/>
    <w:rsid w:val="00342251"/>
    <w:rsid w:val="003450CF"/>
    <w:rsid w:val="003A2A90"/>
    <w:rsid w:val="003C4B53"/>
    <w:rsid w:val="003D2B74"/>
    <w:rsid w:val="003D37D8"/>
    <w:rsid w:val="003E17E1"/>
    <w:rsid w:val="0040009B"/>
    <w:rsid w:val="00406EC9"/>
    <w:rsid w:val="00426133"/>
    <w:rsid w:val="00427AC8"/>
    <w:rsid w:val="004358AB"/>
    <w:rsid w:val="00463126"/>
    <w:rsid w:val="004956B2"/>
    <w:rsid w:val="004C3F3D"/>
    <w:rsid w:val="004C6D11"/>
    <w:rsid w:val="004D06C0"/>
    <w:rsid w:val="004D11CF"/>
    <w:rsid w:val="004D1C20"/>
    <w:rsid w:val="004D43CD"/>
    <w:rsid w:val="004F29FA"/>
    <w:rsid w:val="00500E1A"/>
    <w:rsid w:val="00506CFE"/>
    <w:rsid w:val="005D757C"/>
    <w:rsid w:val="005E0B0F"/>
    <w:rsid w:val="00661890"/>
    <w:rsid w:val="006663A2"/>
    <w:rsid w:val="006B2067"/>
    <w:rsid w:val="00722F45"/>
    <w:rsid w:val="0074504F"/>
    <w:rsid w:val="00777FD6"/>
    <w:rsid w:val="007A6255"/>
    <w:rsid w:val="007F44DD"/>
    <w:rsid w:val="00831188"/>
    <w:rsid w:val="00844FC4"/>
    <w:rsid w:val="00845925"/>
    <w:rsid w:val="008B7726"/>
    <w:rsid w:val="008F64CE"/>
    <w:rsid w:val="008F7751"/>
    <w:rsid w:val="009367E2"/>
    <w:rsid w:val="00996A98"/>
    <w:rsid w:val="00B14202"/>
    <w:rsid w:val="00B17AB9"/>
    <w:rsid w:val="00B910FE"/>
    <w:rsid w:val="00BA7F59"/>
    <w:rsid w:val="00C159DA"/>
    <w:rsid w:val="00C62071"/>
    <w:rsid w:val="00C94296"/>
    <w:rsid w:val="00CF4C56"/>
    <w:rsid w:val="00D31D50"/>
    <w:rsid w:val="00D409DC"/>
    <w:rsid w:val="00DB0257"/>
    <w:rsid w:val="00DD1CA5"/>
    <w:rsid w:val="00DE7A47"/>
    <w:rsid w:val="00E12DA5"/>
    <w:rsid w:val="00E35807"/>
    <w:rsid w:val="00EB7885"/>
    <w:rsid w:val="00EF0909"/>
    <w:rsid w:val="00F07681"/>
    <w:rsid w:val="00F3631E"/>
    <w:rsid w:val="00F845B8"/>
    <w:rsid w:val="00F9108C"/>
    <w:rsid w:val="00FA0D1A"/>
    <w:rsid w:val="00FC3B4D"/>
    <w:rsid w:val="00FD750E"/>
    <w:rsid w:val="00FE445F"/>
    <w:rsid w:val="00FF61AF"/>
    <w:rsid w:val="00FF7D5E"/>
    <w:rsid w:val="277DC0EF"/>
    <w:rsid w:val="76442342"/>
    <w:rsid w:val="F6FEB1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pPr>
    <w:rPr>
      <w:sz w:val="18"/>
      <w:szCs w:val="18"/>
    </w:rPr>
  </w:style>
  <w:style w:type="paragraph" w:styleId="3">
    <w:name w:val="header"/>
    <w:basedOn w:val="1"/>
    <w:link w:val="7"/>
    <w:unhideWhenUsed/>
    <w:qFormat/>
    <w:uiPriority w:val="0"/>
    <w:pPr>
      <w:pBdr>
        <w:bottom w:val="single" w:color="auto" w:sz="6" w:space="1"/>
      </w:pBdr>
      <w:tabs>
        <w:tab w:val="center" w:pos="4153"/>
        <w:tab w:val="right" w:pos="8306"/>
      </w:tabs>
      <w:jc w:val="center"/>
    </w:pPr>
    <w:rPr>
      <w:sz w:val="18"/>
      <w:szCs w:val="18"/>
    </w:rPr>
  </w:style>
  <w:style w:type="paragraph" w:styleId="4">
    <w:name w:val="Normal (Web)"/>
    <w:basedOn w:val="1"/>
    <w:qFormat/>
    <w:uiPriority w:val="0"/>
    <w:pPr>
      <w:adjustRightInd/>
      <w:snapToGrid/>
      <w:spacing w:before="100" w:beforeAutospacing="1" w:after="100" w:afterAutospacing="1"/>
    </w:pPr>
    <w:rPr>
      <w:rFonts w:ascii="宋体" w:hAnsi="宋体" w:eastAsia="宋体" w:cs="宋体"/>
      <w:sz w:val="24"/>
      <w:szCs w:val="24"/>
    </w:rPr>
  </w:style>
  <w:style w:type="character" w:customStyle="1" w:styleId="7">
    <w:name w:val="页眉 Char"/>
    <w:basedOn w:val="6"/>
    <w:link w:val="3"/>
    <w:semiHidden/>
    <w:qFormat/>
    <w:uiPriority w:val="99"/>
    <w:rPr>
      <w:rFonts w:ascii="Tahoma" w:hAnsi="Tahoma"/>
      <w:sz w:val="18"/>
      <w:szCs w:val="18"/>
    </w:rPr>
  </w:style>
  <w:style w:type="character" w:customStyle="1" w:styleId="8">
    <w:name w:val="页脚 Char"/>
    <w:basedOn w:val="6"/>
    <w:link w:val="2"/>
    <w:qFormat/>
    <w:uiPriority w:val="99"/>
    <w:rPr>
      <w:rFonts w:ascii="Tahoma" w:hAnsi="Tahoma"/>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2741</Words>
  <Characters>2910</Characters>
  <Lines>21</Lines>
  <Paragraphs>5</Paragraphs>
  <TotalTime>67</TotalTime>
  <ScaleCrop>false</ScaleCrop>
  <LinksUpToDate>false</LinksUpToDate>
  <CharactersWithSpaces>2913</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2018-06-12T23:57:00Z</dcterms:created>
  <dc:creator>Administrator</dc:creator>
  <cp:lastModifiedBy>user</cp:lastModifiedBy>
  <dcterms:modified xsi:type="dcterms:W3CDTF">2025-12-29T11:16:38Z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eyJoZGlkIjoiNzRlNzU1ZTVmN2IwZDBiYTU3MDUwMTAyZmJhMjY4Y2UiLCJ1c2VySWQiOiI0NDM1NDg0MjIifQ==</vt:lpwstr>
  </property>
  <property fmtid="{D5CDD505-2E9C-101B-9397-08002B2CF9AE}" pid="3" name="KSOProductBuildVer">
    <vt:lpwstr>2052-11.8.2.1132</vt:lpwstr>
  </property>
  <property fmtid="{D5CDD505-2E9C-101B-9397-08002B2CF9AE}" pid="4" name="ICV">
    <vt:lpwstr>1D16AC33719342B195717448F5CBCD99_12</vt:lpwstr>
  </property>
</Properties>
</file>