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360" w:lineRule="atLeast"/>
        <w:jc w:val="center"/>
        <w:rPr>
          <w:rStyle w:val="5"/>
          <w:rFonts w:ascii="仿宋" w:hAnsi="仿宋" w:eastAsia="仿宋"/>
          <w:b/>
          <w:i w:val="0"/>
          <w:color w:val="333333"/>
          <w:sz w:val="36"/>
          <w:szCs w:val="36"/>
        </w:rPr>
      </w:pPr>
      <w:r>
        <w:rPr>
          <w:rStyle w:val="5"/>
          <w:rFonts w:hint="eastAsia" w:ascii="仿宋" w:hAnsi="仿宋" w:eastAsia="仿宋"/>
          <w:b/>
          <w:i w:val="0"/>
          <w:color w:val="333333"/>
          <w:sz w:val="36"/>
          <w:szCs w:val="36"/>
        </w:rPr>
        <w:t>康平县供销合作社联合社2021年预算公开说明</w:t>
      </w:r>
    </w:p>
    <w:p>
      <w:pPr>
        <w:pStyle w:val="2"/>
        <w:spacing w:before="0" w:beforeAutospacing="0" w:after="0" w:afterAutospacing="0" w:line="700" w:lineRule="exact"/>
        <w:ind w:firstLine="480"/>
        <w:rPr>
          <w:rFonts w:ascii="仿宋" w:hAnsi="仿宋" w:eastAsia="仿宋"/>
          <w:b/>
          <w:color w:val="333333"/>
          <w:sz w:val="32"/>
          <w:szCs w:val="32"/>
        </w:rPr>
      </w:pPr>
      <w:r>
        <w:rPr>
          <w:rStyle w:val="5"/>
          <w:rFonts w:ascii="仿宋" w:hAnsi="仿宋" w:eastAsia="仿宋"/>
          <w:b/>
          <w:i w:val="0"/>
          <w:color w:val="333333"/>
          <w:sz w:val="32"/>
          <w:szCs w:val="32"/>
        </w:rPr>
        <w:t>一、部门主要职责及机构设置情况</w:t>
      </w:r>
    </w:p>
    <w:p>
      <w:pPr>
        <w:pStyle w:val="2"/>
        <w:spacing w:before="0" w:beforeAutospacing="0" w:after="0" w:afterAutospacing="0" w:line="700" w:lineRule="exact"/>
        <w:ind w:firstLine="480"/>
        <w:rPr>
          <w:rFonts w:ascii="仿宋" w:hAnsi="仿宋" w:eastAsia="仿宋"/>
          <w:color w:val="333333"/>
          <w:sz w:val="32"/>
          <w:szCs w:val="32"/>
        </w:rPr>
      </w:pPr>
      <w:r>
        <w:rPr>
          <w:rStyle w:val="5"/>
          <w:rFonts w:ascii="仿宋" w:hAnsi="仿宋" w:eastAsia="仿宋"/>
          <w:i w:val="0"/>
          <w:color w:val="333333"/>
          <w:sz w:val="32"/>
          <w:szCs w:val="32"/>
        </w:rPr>
        <w:t>康平县供销联社是隶属康平县人民政府管理的科级事业单位（参公），机构设置一个，财政全额拨款，执行政府会计制度，报账制。主要职责为全县农业生产提供服务，建立农村经济合作组织。</w:t>
      </w:r>
    </w:p>
    <w:p>
      <w:pPr>
        <w:pStyle w:val="2"/>
        <w:spacing w:before="0" w:beforeAutospacing="0" w:after="0" w:afterAutospacing="0" w:line="700" w:lineRule="exact"/>
        <w:ind w:firstLine="480"/>
        <w:rPr>
          <w:rFonts w:ascii="仿宋" w:hAnsi="仿宋" w:eastAsia="仿宋"/>
          <w:b/>
          <w:color w:val="333333"/>
          <w:sz w:val="32"/>
          <w:szCs w:val="32"/>
        </w:rPr>
      </w:pPr>
      <w:r>
        <w:rPr>
          <w:rStyle w:val="5"/>
          <w:rFonts w:ascii="仿宋" w:hAnsi="仿宋" w:eastAsia="仿宋"/>
          <w:b/>
          <w:i w:val="0"/>
          <w:color w:val="333333"/>
          <w:sz w:val="32"/>
          <w:szCs w:val="32"/>
        </w:rPr>
        <w:t>二、预算收支增减变化情况</w:t>
      </w:r>
    </w:p>
    <w:p>
      <w:pPr>
        <w:pStyle w:val="2"/>
        <w:spacing w:before="0" w:beforeAutospacing="0" w:after="0" w:afterAutospacing="0" w:line="700" w:lineRule="exact"/>
        <w:ind w:firstLine="480"/>
        <w:rPr>
          <w:rFonts w:ascii="仿宋" w:hAnsi="仿宋" w:eastAsia="仿宋"/>
          <w:color w:val="333333"/>
          <w:sz w:val="32"/>
          <w:szCs w:val="32"/>
        </w:rPr>
      </w:pPr>
      <w:r>
        <w:rPr>
          <w:rStyle w:val="5"/>
          <w:rFonts w:ascii="仿宋" w:hAnsi="仿宋" w:eastAsia="仿宋"/>
          <w:i w:val="0"/>
          <w:color w:val="333333"/>
          <w:sz w:val="32"/>
          <w:szCs w:val="32"/>
        </w:rPr>
        <w:t>2020年预算收入126.56万元，2021年预算收入123.65万元，由于人员变化，比上年减少2.91万元，2020年预算支出126.56万元，2021年预算支出123.65万元，由于人员变化，比上年减少2.91万元。</w:t>
      </w:r>
    </w:p>
    <w:p>
      <w:pPr>
        <w:pStyle w:val="2"/>
        <w:spacing w:before="0" w:beforeAutospacing="0" w:after="0" w:afterAutospacing="0" w:line="700" w:lineRule="exact"/>
        <w:ind w:firstLine="480"/>
        <w:rPr>
          <w:rFonts w:ascii="仿宋" w:hAnsi="仿宋" w:eastAsia="仿宋"/>
          <w:b/>
          <w:color w:val="333333"/>
          <w:sz w:val="32"/>
          <w:szCs w:val="32"/>
        </w:rPr>
      </w:pPr>
      <w:r>
        <w:rPr>
          <w:rStyle w:val="5"/>
          <w:rFonts w:ascii="仿宋" w:hAnsi="仿宋" w:eastAsia="仿宋"/>
          <w:b/>
          <w:i w:val="0"/>
          <w:color w:val="333333"/>
          <w:sz w:val="32"/>
          <w:szCs w:val="32"/>
        </w:rPr>
        <w:t>三、机关运行费安排情况</w:t>
      </w:r>
    </w:p>
    <w:p>
      <w:pPr>
        <w:pStyle w:val="2"/>
        <w:spacing w:before="0" w:beforeAutospacing="0" w:after="0" w:afterAutospacing="0" w:line="700" w:lineRule="exact"/>
        <w:ind w:firstLine="480"/>
        <w:rPr>
          <w:rFonts w:ascii="仿宋" w:hAnsi="仿宋" w:eastAsia="仿宋"/>
          <w:color w:val="333333"/>
          <w:sz w:val="32"/>
          <w:szCs w:val="32"/>
        </w:rPr>
      </w:pPr>
      <w:r>
        <w:rPr>
          <w:rStyle w:val="5"/>
          <w:rFonts w:ascii="仿宋" w:hAnsi="仿宋" w:eastAsia="仿宋"/>
          <w:i w:val="0"/>
          <w:color w:val="333333"/>
          <w:sz w:val="32"/>
          <w:szCs w:val="32"/>
        </w:rPr>
        <w:t>康平县供销合作社联合社机关运行费总计11.99万元：其中办公费1.15万元；印刷费0.1万元；水费0.23万元；电费0.23万元；邮电费0.24万元；物业管理费0.04万元；差旅费1.33万元；维修费0.2万元；会议费0.05万元；培训费0.05万元；软件及系统维护0.03万元；零星用品购置费0.05万元；福利费0.02万元；公务交通补贴7.49万元；其他商品和服务支出0.77万元。</w:t>
      </w:r>
    </w:p>
    <w:p>
      <w:pPr>
        <w:pStyle w:val="2"/>
        <w:spacing w:before="0" w:beforeAutospacing="0" w:after="0" w:afterAutospacing="0" w:line="700" w:lineRule="exact"/>
        <w:ind w:firstLine="480"/>
        <w:rPr>
          <w:rFonts w:ascii="仿宋" w:hAnsi="仿宋" w:eastAsia="仿宋"/>
          <w:b/>
          <w:color w:val="333333"/>
          <w:sz w:val="32"/>
          <w:szCs w:val="32"/>
        </w:rPr>
      </w:pPr>
      <w:r>
        <w:rPr>
          <w:rStyle w:val="5"/>
          <w:rFonts w:ascii="仿宋" w:hAnsi="仿宋" w:eastAsia="仿宋"/>
          <w:b/>
          <w:i w:val="0"/>
          <w:color w:val="333333"/>
          <w:sz w:val="32"/>
          <w:szCs w:val="32"/>
        </w:rPr>
        <w:t>四、政府采购安排情况</w:t>
      </w:r>
    </w:p>
    <w:p>
      <w:pPr>
        <w:ind w:firstLine="640" w:firstLineChars="200"/>
        <w:rPr>
          <w:rFonts w:ascii="仿宋" w:hAnsi="仿宋" w:eastAsia="仿宋" w:cs="宋体"/>
          <w:color w:val="000000"/>
          <w:sz w:val="32"/>
          <w:szCs w:val="32"/>
        </w:rPr>
      </w:pPr>
      <w:r>
        <w:rPr>
          <w:rFonts w:hint="eastAsia" w:ascii="仿宋" w:hAnsi="仿宋" w:eastAsia="仿宋" w:cs="宋体"/>
          <w:color w:val="000000"/>
          <w:sz w:val="32"/>
          <w:szCs w:val="32"/>
        </w:rPr>
        <w:t>2021年政府采购预算总额0万元，其中：政府采购货物预算0万元、政府采购工程预算0万元、政府采购服务预算0万元。本年度本单位无政府采购情况。</w:t>
      </w:r>
    </w:p>
    <w:p>
      <w:pPr>
        <w:pStyle w:val="2"/>
        <w:spacing w:before="0" w:beforeAutospacing="0" w:after="0" w:afterAutospacing="0" w:line="700" w:lineRule="exact"/>
        <w:ind w:firstLine="480"/>
        <w:rPr>
          <w:rFonts w:ascii="仿宋" w:hAnsi="仿宋" w:eastAsia="仿宋"/>
          <w:b/>
          <w:color w:val="333333"/>
          <w:sz w:val="32"/>
          <w:szCs w:val="32"/>
        </w:rPr>
      </w:pPr>
      <w:r>
        <w:rPr>
          <w:rStyle w:val="5"/>
          <w:rFonts w:ascii="仿宋" w:hAnsi="仿宋" w:eastAsia="仿宋"/>
          <w:b/>
          <w:i w:val="0"/>
          <w:color w:val="333333"/>
          <w:sz w:val="32"/>
          <w:szCs w:val="32"/>
        </w:rPr>
        <w:t>五、“三公”经费增减变化原因等情况说明</w:t>
      </w:r>
    </w:p>
    <w:p>
      <w:pPr>
        <w:spacing w:line="600" w:lineRule="exact"/>
        <w:ind w:firstLine="640" w:firstLineChars="200"/>
        <w:rPr>
          <w:rFonts w:ascii="仿宋" w:hAnsi="仿宋" w:eastAsia="仿宋" w:cs="宋体"/>
          <w:color w:val="000000"/>
          <w:sz w:val="32"/>
          <w:szCs w:val="32"/>
        </w:rPr>
      </w:pPr>
      <w:r>
        <w:rPr>
          <w:rFonts w:hint="eastAsia" w:ascii="仿宋" w:hAnsi="仿宋" w:eastAsia="仿宋" w:cs="宋体"/>
          <w:color w:val="000000"/>
          <w:sz w:val="32"/>
          <w:szCs w:val="32"/>
        </w:rPr>
        <w:t>2021年一般公共预算“三公”经费预算数0万元，其中：因公出国（境）费0万元；公务接待费0万元；公务用车购置及运行费0万元；本年度本单位无</w:t>
      </w:r>
      <w:r>
        <w:rPr>
          <w:rFonts w:hint="eastAsia" w:ascii="仿宋" w:hAnsi="仿宋" w:eastAsia="仿宋" w:cs="宋体"/>
          <w:color w:val="000000"/>
          <w:sz w:val="32"/>
          <w:szCs w:val="32"/>
          <w:lang w:eastAsia="zh-CN"/>
        </w:rPr>
        <w:t>“</w:t>
      </w:r>
      <w:r>
        <w:rPr>
          <w:rFonts w:hint="eastAsia" w:ascii="仿宋" w:hAnsi="仿宋" w:eastAsia="仿宋" w:cs="宋体"/>
          <w:color w:val="000000"/>
          <w:sz w:val="32"/>
          <w:szCs w:val="32"/>
        </w:rPr>
        <w:t>三公</w:t>
      </w:r>
      <w:bookmarkStart w:id="0" w:name="_GoBack"/>
      <w:bookmarkEnd w:id="0"/>
      <w:r>
        <w:rPr>
          <w:rFonts w:hint="eastAsia" w:ascii="仿宋" w:hAnsi="仿宋" w:eastAsia="仿宋" w:cs="宋体"/>
          <w:color w:val="000000"/>
          <w:sz w:val="32"/>
          <w:szCs w:val="32"/>
          <w:lang w:eastAsia="zh-CN"/>
        </w:rPr>
        <w:t>”</w:t>
      </w:r>
      <w:r>
        <w:rPr>
          <w:rFonts w:hint="eastAsia" w:ascii="仿宋" w:hAnsi="仿宋" w:eastAsia="仿宋" w:cs="宋体"/>
          <w:color w:val="000000"/>
          <w:sz w:val="32"/>
          <w:szCs w:val="32"/>
        </w:rPr>
        <w:t>经费支出。</w:t>
      </w:r>
    </w:p>
    <w:p>
      <w:pPr>
        <w:pStyle w:val="2"/>
        <w:spacing w:before="0" w:beforeAutospacing="0" w:after="0" w:afterAutospacing="0" w:line="700" w:lineRule="exact"/>
        <w:ind w:firstLine="480"/>
        <w:rPr>
          <w:rFonts w:ascii="仿宋" w:hAnsi="仿宋" w:eastAsia="仿宋"/>
          <w:b/>
          <w:color w:val="333333"/>
          <w:sz w:val="32"/>
          <w:szCs w:val="32"/>
        </w:rPr>
      </w:pPr>
      <w:r>
        <w:rPr>
          <w:rStyle w:val="5"/>
          <w:rFonts w:ascii="仿宋" w:hAnsi="仿宋" w:eastAsia="仿宋"/>
          <w:b/>
          <w:i w:val="0"/>
          <w:color w:val="333333"/>
          <w:sz w:val="32"/>
          <w:szCs w:val="32"/>
        </w:rPr>
        <w:t>六、预算绩效情况</w:t>
      </w:r>
    </w:p>
    <w:p>
      <w:pPr>
        <w:pStyle w:val="2"/>
        <w:spacing w:before="0" w:beforeAutospacing="0" w:after="0" w:afterAutospacing="0" w:line="700" w:lineRule="exact"/>
        <w:ind w:firstLine="480"/>
        <w:rPr>
          <w:rFonts w:ascii="仿宋" w:hAnsi="仿宋" w:eastAsia="仿宋"/>
          <w:color w:val="333333"/>
          <w:sz w:val="32"/>
          <w:szCs w:val="32"/>
        </w:rPr>
      </w:pPr>
      <w:r>
        <w:rPr>
          <w:rStyle w:val="5"/>
          <w:rFonts w:ascii="仿宋" w:hAnsi="仿宋" w:eastAsia="仿宋"/>
          <w:i w:val="0"/>
          <w:color w:val="333333"/>
          <w:sz w:val="32"/>
          <w:szCs w:val="32"/>
        </w:rPr>
        <w:t>本单位本年不涉及民生项目和重点支出项目，故无绩效评价情况公开。</w:t>
      </w:r>
    </w:p>
    <w:p>
      <w:pPr>
        <w:pStyle w:val="2"/>
        <w:spacing w:before="0" w:beforeAutospacing="0" w:after="0" w:afterAutospacing="0" w:line="700" w:lineRule="exact"/>
        <w:ind w:firstLine="480"/>
        <w:rPr>
          <w:rFonts w:ascii="仿宋" w:hAnsi="仿宋" w:eastAsia="仿宋"/>
          <w:b/>
          <w:color w:val="333333"/>
          <w:sz w:val="32"/>
          <w:szCs w:val="32"/>
        </w:rPr>
      </w:pPr>
      <w:r>
        <w:rPr>
          <w:rStyle w:val="5"/>
          <w:rFonts w:ascii="仿宋" w:hAnsi="仿宋" w:eastAsia="仿宋"/>
          <w:b/>
          <w:i w:val="0"/>
          <w:color w:val="333333"/>
          <w:sz w:val="32"/>
          <w:szCs w:val="32"/>
        </w:rPr>
        <w:t>七、国有资产占用使用情况</w:t>
      </w:r>
    </w:p>
    <w:p>
      <w:pPr>
        <w:pStyle w:val="2"/>
        <w:spacing w:before="0" w:beforeAutospacing="0" w:after="0" w:afterAutospacing="0"/>
        <w:ind w:firstLine="640" w:firstLineChars="200"/>
        <w:rPr>
          <w:rFonts w:ascii="仿宋" w:hAnsi="仿宋" w:eastAsia="仿宋"/>
          <w:color w:val="000000"/>
          <w:sz w:val="32"/>
          <w:szCs w:val="32"/>
        </w:rPr>
      </w:pPr>
      <w:r>
        <w:rPr>
          <w:rFonts w:hint="eastAsia" w:ascii="仿宋" w:hAnsi="仿宋" w:eastAsia="仿宋"/>
          <w:sz w:val="32"/>
          <w:szCs w:val="32"/>
        </w:rPr>
        <w:t>本单位共有车辆0辆，其中：省部级领导干部用车0辆、一般公务用车0辆、一般执法执勤用车0辆、特种专业技术用车0辆、其他用车0辆，本单位本年度无国有资产占用情况。</w:t>
      </w:r>
    </w:p>
    <w:p>
      <w:pPr>
        <w:pStyle w:val="2"/>
        <w:spacing w:before="0" w:beforeAutospacing="0" w:after="0" w:afterAutospacing="0" w:line="700" w:lineRule="exact"/>
        <w:ind w:firstLine="480"/>
        <w:rPr>
          <w:rFonts w:ascii="仿宋" w:hAnsi="仿宋" w:eastAsia="仿宋"/>
          <w:b/>
          <w:color w:val="333333"/>
          <w:sz w:val="32"/>
          <w:szCs w:val="32"/>
        </w:rPr>
      </w:pPr>
      <w:r>
        <w:rPr>
          <w:rStyle w:val="5"/>
          <w:rFonts w:ascii="仿宋" w:hAnsi="仿宋" w:eastAsia="仿宋"/>
          <w:b/>
          <w:i w:val="0"/>
          <w:color w:val="333333"/>
          <w:sz w:val="32"/>
          <w:szCs w:val="32"/>
        </w:rPr>
        <w:t>八、名词解释</w:t>
      </w:r>
    </w:p>
    <w:p>
      <w:pPr>
        <w:pStyle w:val="2"/>
        <w:spacing w:before="0" w:beforeAutospacing="0" w:after="0" w:afterAutospacing="0" w:line="700" w:lineRule="exact"/>
        <w:ind w:firstLine="480"/>
        <w:rPr>
          <w:rFonts w:ascii="仿宋" w:hAnsi="仿宋" w:eastAsia="仿宋"/>
          <w:color w:val="333333"/>
          <w:sz w:val="32"/>
          <w:szCs w:val="32"/>
        </w:rPr>
      </w:pPr>
      <w:r>
        <w:rPr>
          <w:rStyle w:val="5"/>
          <w:rFonts w:ascii="仿宋" w:hAnsi="仿宋" w:eastAsia="仿宋"/>
          <w:i w:val="0"/>
          <w:color w:val="333333"/>
          <w:sz w:val="32"/>
          <w:szCs w:val="32"/>
        </w:rPr>
        <w:t>1.财政拨款收入：指市级财政当年拨付的资金。</w:t>
      </w:r>
    </w:p>
    <w:p>
      <w:pPr>
        <w:pStyle w:val="2"/>
        <w:spacing w:before="0" w:beforeAutospacing="0" w:after="0" w:afterAutospacing="0" w:line="700" w:lineRule="exact"/>
        <w:ind w:firstLine="480"/>
        <w:rPr>
          <w:rFonts w:ascii="仿宋" w:hAnsi="仿宋" w:eastAsia="仿宋"/>
          <w:color w:val="333333"/>
          <w:sz w:val="32"/>
          <w:szCs w:val="32"/>
        </w:rPr>
      </w:pPr>
      <w:r>
        <w:rPr>
          <w:rStyle w:val="5"/>
          <w:rFonts w:ascii="仿宋" w:hAnsi="仿宋" w:eastAsia="仿宋"/>
          <w:i w:val="0"/>
          <w:color w:val="333333"/>
          <w:sz w:val="32"/>
          <w:szCs w:val="32"/>
        </w:rPr>
        <w:t>2.上级补助收入：指事业单位从主管部门和上级单位取得的非财政补助收入。</w:t>
      </w:r>
    </w:p>
    <w:p>
      <w:pPr>
        <w:pStyle w:val="2"/>
        <w:spacing w:before="0" w:beforeAutospacing="0" w:after="0" w:afterAutospacing="0" w:line="700" w:lineRule="exact"/>
        <w:ind w:firstLine="480"/>
        <w:rPr>
          <w:rFonts w:ascii="仿宋" w:hAnsi="仿宋" w:eastAsia="仿宋"/>
          <w:color w:val="333333"/>
          <w:sz w:val="32"/>
          <w:szCs w:val="32"/>
        </w:rPr>
      </w:pPr>
      <w:r>
        <w:rPr>
          <w:rStyle w:val="5"/>
          <w:rFonts w:ascii="仿宋" w:hAnsi="仿宋" w:eastAsia="仿宋"/>
          <w:i w:val="0"/>
          <w:color w:val="333333"/>
          <w:sz w:val="32"/>
          <w:szCs w:val="32"/>
        </w:rPr>
        <w:t>3.附属单位上缴收入：指已纳入部门预算管理的独立核算的附属单位按照有关规定上缴的收入。</w:t>
      </w:r>
    </w:p>
    <w:p>
      <w:pPr>
        <w:pStyle w:val="2"/>
        <w:spacing w:before="0" w:beforeAutospacing="0" w:after="0" w:afterAutospacing="0" w:line="700" w:lineRule="exact"/>
        <w:ind w:firstLine="480"/>
        <w:rPr>
          <w:rFonts w:ascii="仿宋" w:hAnsi="仿宋" w:eastAsia="仿宋"/>
          <w:color w:val="333333"/>
          <w:sz w:val="32"/>
          <w:szCs w:val="32"/>
        </w:rPr>
      </w:pPr>
      <w:r>
        <w:rPr>
          <w:rStyle w:val="5"/>
          <w:rFonts w:ascii="仿宋" w:hAnsi="仿宋" w:eastAsia="仿宋"/>
          <w:i w:val="0"/>
          <w:color w:val="333333"/>
          <w:sz w:val="32"/>
          <w:szCs w:val="32"/>
        </w:rPr>
        <w:t>4. 其他收入：指除上述“财政拨款收入”、“纳入专户管理的预算外资金拨款”、“上级补助、附属单位上缴收入”以外的收入。</w:t>
      </w:r>
    </w:p>
    <w:p>
      <w:pPr>
        <w:pStyle w:val="2"/>
        <w:spacing w:before="0" w:beforeAutospacing="0" w:after="0" w:afterAutospacing="0" w:line="700" w:lineRule="exact"/>
        <w:ind w:firstLine="480"/>
        <w:rPr>
          <w:rFonts w:ascii="仿宋" w:hAnsi="仿宋" w:eastAsia="仿宋"/>
          <w:color w:val="333333"/>
          <w:sz w:val="32"/>
          <w:szCs w:val="32"/>
        </w:rPr>
      </w:pPr>
      <w:r>
        <w:rPr>
          <w:rStyle w:val="5"/>
          <w:rFonts w:ascii="仿宋" w:hAnsi="仿宋" w:eastAsia="仿宋"/>
          <w:i w:val="0"/>
          <w:color w:val="333333"/>
          <w:sz w:val="32"/>
          <w:szCs w:val="32"/>
        </w:rPr>
        <w:t>5.一般公共服务（类）财政事务（款）行政运行（项）：反映行政单位（包括实行公务员管理的事业单位）的基本支出。</w:t>
      </w:r>
    </w:p>
    <w:p>
      <w:pPr>
        <w:pStyle w:val="2"/>
        <w:spacing w:before="0" w:beforeAutospacing="0" w:after="0" w:afterAutospacing="0" w:line="700" w:lineRule="exact"/>
        <w:ind w:firstLine="480"/>
        <w:rPr>
          <w:rFonts w:ascii="仿宋" w:hAnsi="仿宋" w:eastAsia="仿宋"/>
          <w:color w:val="333333"/>
          <w:sz w:val="32"/>
          <w:szCs w:val="32"/>
        </w:rPr>
      </w:pPr>
      <w:r>
        <w:rPr>
          <w:rStyle w:val="5"/>
          <w:rFonts w:ascii="仿宋" w:hAnsi="仿宋" w:eastAsia="仿宋"/>
          <w:i w:val="0"/>
          <w:color w:val="333333"/>
          <w:sz w:val="32"/>
          <w:szCs w:val="32"/>
        </w:rPr>
        <w:t>6.一般公共服务（类）财政事务（款）一般行政管理事务（项）：反映行政单位（包括实行公务员管理的事业单位）未单独设置项级科目的其他项目支出。</w:t>
      </w:r>
    </w:p>
    <w:p>
      <w:pPr>
        <w:pStyle w:val="2"/>
        <w:spacing w:before="0" w:beforeAutospacing="0" w:after="0" w:afterAutospacing="0" w:line="700" w:lineRule="exact"/>
        <w:ind w:firstLine="480"/>
        <w:rPr>
          <w:rFonts w:ascii="仿宋" w:hAnsi="仿宋" w:eastAsia="仿宋"/>
          <w:color w:val="333333"/>
          <w:sz w:val="32"/>
          <w:szCs w:val="32"/>
        </w:rPr>
      </w:pPr>
      <w:r>
        <w:rPr>
          <w:rStyle w:val="5"/>
          <w:rFonts w:ascii="仿宋" w:hAnsi="仿宋" w:eastAsia="仿宋"/>
          <w:i w:val="0"/>
          <w:color w:val="333333"/>
          <w:sz w:val="32"/>
          <w:szCs w:val="32"/>
        </w:rPr>
        <w:t>7.一般公共服务（类）财政事务（款）预算改革业务（项）：反映财政部门用于预算改革方面的支出。</w:t>
      </w:r>
    </w:p>
    <w:p>
      <w:pPr>
        <w:pStyle w:val="2"/>
        <w:spacing w:before="0" w:beforeAutospacing="0" w:after="0" w:afterAutospacing="0" w:line="700" w:lineRule="exact"/>
        <w:ind w:firstLine="480"/>
        <w:rPr>
          <w:rFonts w:ascii="仿宋" w:hAnsi="仿宋" w:eastAsia="仿宋"/>
          <w:color w:val="333333"/>
          <w:sz w:val="32"/>
          <w:szCs w:val="32"/>
        </w:rPr>
      </w:pPr>
      <w:r>
        <w:rPr>
          <w:rStyle w:val="5"/>
          <w:rFonts w:ascii="仿宋" w:hAnsi="仿宋" w:eastAsia="仿宋"/>
          <w:i w:val="0"/>
          <w:color w:val="333333"/>
          <w:sz w:val="32"/>
          <w:szCs w:val="32"/>
        </w:rPr>
        <w:t>8.一般公共服务（类）财政事务（款）财政国库业务（项）：反映财政部门用于财政国库集中收付业务方面的支出。</w:t>
      </w:r>
    </w:p>
    <w:p>
      <w:pPr>
        <w:pStyle w:val="2"/>
        <w:spacing w:before="0" w:beforeAutospacing="0" w:after="0" w:afterAutospacing="0" w:line="700" w:lineRule="exact"/>
        <w:ind w:firstLine="480"/>
        <w:rPr>
          <w:rFonts w:ascii="仿宋" w:hAnsi="仿宋" w:eastAsia="仿宋"/>
          <w:color w:val="333333"/>
          <w:sz w:val="32"/>
          <w:szCs w:val="32"/>
        </w:rPr>
      </w:pPr>
      <w:r>
        <w:rPr>
          <w:rStyle w:val="5"/>
          <w:rFonts w:ascii="仿宋" w:hAnsi="仿宋" w:eastAsia="仿宋"/>
          <w:i w:val="0"/>
          <w:color w:val="333333"/>
          <w:sz w:val="32"/>
          <w:szCs w:val="32"/>
        </w:rPr>
        <w:t>9.一般公共服务（类）财政事务（款）事业运行（项）：反映事业单位的基本支出，不包括行政单位（包括实行公务员管理的事业单位）后勤服务中心、医务室等附属事业单位。</w:t>
      </w:r>
    </w:p>
    <w:p>
      <w:pPr>
        <w:pStyle w:val="2"/>
        <w:spacing w:before="0" w:beforeAutospacing="0" w:after="0" w:afterAutospacing="0" w:line="700" w:lineRule="exact"/>
        <w:ind w:firstLine="480"/>
        <w:rPr>
          <w:rFonts w:ascii="仿宋" w:hAnsi="仿宋" w:eastAsia="仿宋"/>
          <w:color w:val="333333"/>
          <w:sz w:val="32"/>
          <w:szCs w:val="32"/>
        </w:rPr>
      </w:pPr>
      <w:r>
        <w:rPr>
          <w:rStyle w:val="5"/>
          <w:rFonts w:ascii="仿宋" w:hAnsi="仿宋" w:eastAsia="仿宋"/>
          <w:i w:val="0"/>
          <w:color w:val="333333"/>
          <w:sz w:val="32"/>
          <w:szCs w:val="32"/>
        </w:rPr>
        <w:t>10.一般公共服务（类）财政事务（款）其他财政事务支出（项）：反映除上述项目以外其他财政事务方面的支出。</w:t>
      </w:r>
    </w:p>
    <w:p>
      <w:pPr>
        <w:pStyle w:val="2"/>
        <w:spacing w:before="0" w:beforeAutospacing="0" w:after="0" w:afterAutospacing="0" w:line="700" w:lineRule="exact"/>
        <w:ind w:firstLine="480"/>
        <w:rPr>
          <w:rFonts w:ascii="仿宋" w:hAnsi="仿宋" w:eastAsia="仿宋"/>
          <w:color w:val="333333"/>
          <w:sz w:val="32"/>
          <w:szCs w:val="32"/>
        </w:rPr>
      </w:pPr>
      <w:r>
        <w:rPr>
          <w:rStyle w:val="5"/>
          <w:rFonts w:ascii="仿宋" w:hAnsi="仿宋" w:eastAsia="仿宋"/>
          <w:i w:val="0"/>
          <w:color w:val="333333"/>
          <w:sz w:val="32"/>
          <w:szCs w:val="32"/>
        </w:rPr>
        <w:t>11.社会保障和就业（类）行政事业单位离退休（款）归口管理的行政单位离退休（项）：反映实行归口管理的行政单位（包括实行公务员管理的事业单位）开支的离退休经费。</w:t>
      </w:r>
    </w:p>
    <w:p>
      <w:pPr>
        <w:pStyle w:val="2"/>
        <w:spacing w:before="0" w:beforeAutospacing="0" w:after="0" w:afterAutospacing="0" w:line="700" w:lineRule="exact"/>
        <w:ind w:firstLine="480"/>
        <w:rPr>
          <w:rFonts w:ascii="仿宋" w:hAnsi="仿宋" w:eastAsia="仿宋"/>
          <w:color w:val="333333"/>
          <w:sz w:val="32"/>
          <w:szCs w:val="32"/>
        </w:rPr>
      </w:pPr>
      <w:r>
        <w:rPr>
          <w:rStyle w:val="5"/>
          <w:rFonts w:ascii="仿宋" w:hAnsi="仿宋" w:eastAsia="仿宋"/>
          <w:i w:val="0"/>
          <w:color w:val="333333"/>
          <w:sz w:val="32"/>
          <w:szCs w:val="32"/>
        </w:rPr>
        <w:t>12.社会保障和就业（类）行政事业单位离退休（款）事业单位离退休（项）：反映实行归口管理的事业单位开支的离退休经费。</w:t>
      </w:r>
    </w:p>
    <w:p>
      <w:pPr>
        <w:pStyle w:val="2"/>
        <w:spacing w:before="0" w:beforeAutospacing="0" w:after="0" w:afterAutospacing="0" w:line="700" w:lineRule="exact"/>
        <w:ind w:firstLine="480"/>
        <w:rPr>
          <w:rFonts w:ascii="仿宋" w:hAnsi="仿宋" w:eastAsia="仿宋"/>
          <w:color w:val="333333"/>
          <w:sz w:val="32"/>
          <w:szCs w:val="32"/>
        </w:rPr>
      </w:pPr>
      <w:r>
        <w:rPr>
          <w:rStyle w:val="5"/>
          <w:rFonts w:ascii="仿宋" w:hAnsi="仿宋" w:eastAsia="仿宋"/>
          <w:i w:val="0"/>
          <w:color w:val="333333"/>
          <w:sz w:val="32"/>
          <w:szCs w:val="32"/>
        </w:rPr>
        <w:t>13.医疗卫生与计划生育（类）医疗保障（款）行政单位医疗（项）：反映财政部门集中安排的行政单位基本医疗保险缴费经费，未参加医疗保险的行政单位的公费医疗经费，按国家规定享受离休人员、红军老战士待遇人员的医疗经费。</w:t>
      </w:r>
    </w:p>
    <w:p>
      <w:pPr>
        <w:pStyle w:val="2"/>
        <w:spacing w:before="0" w:beforeAutospacing="0" w:after="0" w:afterAutospacing="0" w:line="700" w:lineRule="exact"/>
        <w:ind w:firstLine="480"/>
        <w:rPr>
          <w:rFonts w:ascii="仿宋" w:hAnsi="仿宋" w:eastAsia="仿宋"/>
          <w:color w:val="333333"/>
          <w:sz w:val="32"/>
          <w:szCs w:val="32"/>
        </w:rPr>
      </w:pPr>
      <w:r>
        <w:rPr>
          <w:rStyle w:val="5"/>
          <w:rFonts w:ascii="仿宋" w:hAnsi="仿宋" w:eastAsia="仿宋"/>
          <w:i w:val="0"/>
          <w:color w:val="333333"/>
          <w:sz w:val="32"/>
          <w:szCs w:val="32"/>
        </w:rPr>
        <w:t>14.医疗卫生与计划生育（类）医疗保障（款）事业单位医疗（项）：反映财政部门集中安排的事业单位基本医疗保险缴费经费，未参加医疗保险的事业单位的公费医疗经费，按国家规定享受离休人员待遇人员的医疗经费。</w:t>
      </w:r>
    </w:p>
    <w:p>
      <w:pPr>
        <w:pStyle w:val="2"/>
        <w:spacing w:before="0" w:beforeAutospacing="0" w:after="0" w:afterAutospacing="0" w:line="700" w:lineRule="exact"/>
        <w:ind w:firstLine="480"/>
        <w:rPr>
          <w:rFonts w:ascii="仿宋" w:hAnsi="仿宋" w:eastAsia="仿宋"/>
          <w:color w:val="333333"/>
          <w:sz w:val="32"/>
          <w:szCs w:val="32"/>
        </w:rPr>
      </w:pPr>
      <w:r>
        <w:rPr>
          <w:rStyle w:val="5"/>
          <w:rFonts w:ascii="仿宋" w:hAnsi="仿宋" w:eastAsia="仿宋"/>
          <w:i w:val="0"/>
          <w:color w:val="333333"/>
          <w:sz w:val="32"/>
          <w:szCs w:val="32"/>
        </w:rPr>
        <w:t>15.住房保障（类）住房改革（款）住房公积金（项）：反映行政事业单位按人力资源和社会保障部、财政部规定的基本工资和津贴补贴以及规定比例为职工缴纳的住房公积金。</w:t>
      </w:r>
    </w:p>
    <w:p>
      <w:pPr>
        <w:pStyle w:val="2"/>
        <w:spacing w:before="0" w:beforeAutospacing="0" w:after="0" w:afterAutospacing="0" w:line="700" w:lineRule="exact"/>
        <w:ind w:firstLine="480"/>
        <w:rPr>
          <w:rFonts w:ascii="仿宋" w:hAnsi="仿宋" w:eastAsia="仿宋"/>
          <w:color w:val="333333"/>
          <w:sz w:val="32"/>
          <w:szCs w:val="32"/>
        </w:rPr>
      </w:pPr>
      <w:r>
        <w:rPr>
          <w:rStyle w:val="5"/>
          <w:rFonts w:ascii="仿宋" w:hAnsi="仿宋" w:eastAsia="仿宋"/>
          <w:i w:val="0"/>
          <w:color w:val="333333"/>
          <w:sz w:val="32"/>
          <w:szCs w:val="32"/>
        </w:rPr>
        <w:t>16. 基本支出：指保障机构正常运转、完成日常工作任务而发生的人员支出和公用支出。</w:t>
      </w:r>
    </w:p>
    <w:p>
      <w:pPr>
        <w:pStyle w:val="2"/>
        <w:spacing w:before="0" w:beforeAutospacing="0" w:after="0" w:afterAutospacing="0" w:line="700" w:lineRule="exact"/>
        <w:ind w:firstLine="480"/>
        <w:rPr>
          <w:rFonts w:ascii="仿宋" w:hAnsi="仿宋" w:eastAsia="仿宋"/>
          <w:color w:val="333333"/>
          <w:sz w:val="32"/>
          <w:szCs w:val="32"/>
        </w:rPr>
      </w:pPr>
      <w:r>
        <w:rPr>
          <w:rStyle w:val="5"/>
          <w:rFonts w:ascii="仿宋" w:hAnsi="仿宋" w:eastAsia="仿宋"/>
          <w:i w:val="0"/>
          <w:color w:val="333333"/>
          <w:sz w:val="32"/>
          <w:szCs w:val="32"/>
        </w:rPr>
        <w:t>17. 项目支出：指在基本支出之外为完成特定行政任务和事业发展目标所发生的支出。</w:t>
      </w:r>
    </w:p>
    <w:p>
      <w:pPr>
        <w:pStyle w:val="2"/>
        <w:spacing w:before="0" w:beforeAutospacing="0" w:after="0" w:afterAutospacing="0" w:line="700" w:lineRule="exact"/>
        <w:ind w:firstLine="480"/>
        <w:rPr>
          <w:rFonts w:ascii="仿宋" w:hAnsi="仿宋" w:eastAsia="仿宋"/>
          <w:color w:val="333333"/>
          <w:sz w:val="32"/>
          <w:szCs w:val="32"/>
        </w:rPr>
      </w:pPr>
      <w:r>
        <w:rPr>
          <w:rStyle w:val="5"/>
          <w:rFonts w:ascii="仿宋" w:hAnsi="仿宋" w:eastAsia="仿宋"/>
          <w:i w:val="0"/>
          <w:color w:val="333333"/>
          <w:sz w:val="32"/>
          <w:szCs w:val="32"/>
        </w:rPr>
        <w:t>18.“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pStyle w:val="2"/>
        <w:spacing w:before="0" w:beforeAutospacing="0" w:after="0" w:afterAutospacing="0" w:line="700" w:lineRule="exact"/>
        <w:ind w:firstLine="480"/>
        <w:rPr>
          <w:rFonts w:ascii="仿宋" w:hAnsi="仿宋" w:eastAsia="仿宋"/>
          <w:color w:val="333333"/>
          <w:sz w:val="32"/>
          <w:szCs w:val="32"/>
        </w:rPr>
      </w:pPr>
      <w:r>
        <w:rPr>
          <w:rStyle w:val="5"/>
          <w:rFonts w:ascii="仿宋" w:hAnsi="仿宋" w:eastAsia="仿宋"/>
          <w:i w:val="0"/>
          <w:color w:val="333333"/>
          <w:sz w:val="32"/>
          <w:szCs w:val="32"/>
        </w:rPr>
        <w:t>19.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inherit">
    <w:altName w:val="华文中宋"/>
    <w:panose1 w:val="00000000000000000000"/>
    <w:charset w:val="00"/>
    <w:family w:val="roman"/>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D30492"/>
    <w:rsid w:val="003F2FD4"/>
    <w:rsid w:val="00D30492"/>
    <w:rsid w:val="00D46047"/>
    <w:rsid w:val="00EA5054"/>
    <w:rsid w:val="BDFF2D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5">
    <w:name w:val="Emphasis"/>
    <w:basedOn w:val="4"/>
    <w:qFormat/>
    <w:uiPriority w:val="20"/>
    <w:rPr>
      <w:rFonts w:hint="default" w:ascii="inherit" w:hAnsi="inherit"/>
      <w:i/>
      <w:i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316</Words>
  <Characters>1803</Characters>
  <Lines>15</Lines>
  <Paragraphs>4</Paragraphs>
  <TotalTime>13</TotalTime>
  <ScaleCrop>false</ScaleCrop>
  <LinksUpToDate>false</LinksUpToDate>
  <CharactersWithSpaces>2115</CharactersWithSpaces>
  <Application>WPS Office_11.8.2.1130_F1E327BC-269C-435d-A152-05C5408002CA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2022-03-09T10:36:00Z</dcterms:created>
  <dc:creator>Administrator</dc:creator>
  <cp:lastModifiedBy>admin1</cp:lastModifiedBy>
  <dcterms:modified xsi:type="dcterms:W3CDTF">2025-09-01T11:20:31Z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2052-11.8.2.1130</vt:lpwstr>
  </property>
  <property fmtid="{D5CDD505-2E9C-101B-9397-08002B2CF9AE}" pid="3" name="ICV">
    <vt:lpwstr>59D574B2BF5D33DBFF10B568040CDD11</vt:lpwstr>
  </property>
</Properties>
</file>