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720" w:firstLineChars="200"/>
        <w:rPr>
          <w:rFonts w:asciiTheme="minorEastAsia" w:hAnsiTheme="minorEastAsia" w:eastAsiaTheme="minorEastAsia"/>
          <w:sz w:val="36"/>
          <w:szCs w:val="36"/>
        </w:rPr>
      </w:pPr>
      <w:r>
        <w:rPr>
          <w:rFonts w:hint="eastAsia" w:asciiTheme="minorEastAsia" w:hAnsiTheme="minorEastAsia" w:eastAsiaTheme="minorEastAsia"/>
          <w:sz w:val="36"/>
          <w:szCs w:val="36"/>
        </w:rPr>
        <w:t>康平县中心幼儿园2021年预算公开说明</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一、部门主要职责及机构设置情况</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康平县中心幼儿园是一所独立法人事业单位，其宗旨和业务范围是:为学龄前儿童提供保育和教育服务。业务范围是：幼儿保育、幼儿教育。单位机构设置为一个，编制人数23人，实有在职20人，六十年代精简下放1人。</w:t>
      </w:r>
    </w:p>
    <w:p>
      <w:pPr>
        <w:spacing w:line="36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二、预算收支增减变化情况</w:t>
      </w:r>
    </w:p>
    <w:p>
      <w:pPr>
        <w:pStyle w:val="4"/>
        <w:spacing w:before="0" w:beforeAutospacing="0" w:after="0" w:afterAutospacing="0" w:line="360" w:lineRule="auto"/>
        <w:ind w:firstLine="548" w:firstLineChars="196"/>
        <w:rPr>
          <w:rFonts w:asciiTheme="minorEastAsia" w:hAnsiTheme="minorEastAsia" w:eastAsiaTheme="minorEastAsia" w:cstheme="minorBidi"/>
          <w:sz w:val="28"/>
          <w:szCs w:val="28"/>
        </w:rPr>
      </w:pPr>
      <w:r>
        <w:rPr>
          <w:rFonts w:hint="eastAsia" w:asciiTheme="minorEastAsia" w:hAnsiTheme="minorEastAsia" w:eastAsiaTheme="minorEastAsia" w:cstheme="minorBidi"/>
          <w:sz w:val="28"/>
          <w:szCs w:val="28"/>
        </w:rPr>
        <w:t>按照综合预算的原则，康平县中心幼儿园所有收入和支出均纳入部门预算管理。收入包括：一般公共预算拨款收入，纳入专户管理的预算外资金安排的拨款收入；支出包括：教育支出、社会保障和就业支出、卫生健康支出、住房保障支出等。</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1.2020年预算收入为497.68万元，预算支出为497.68万元；2021年预算收入为414.63万元，预算支出为414.63万元；2021年与2020年预算收支相比减少了83.05万元，减少了17%。变动的主要原因是本年末未把临时工工资做入预算，此部分支出不属于财政拨款。</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2.结转和结余资金上年年末数与本年年初数一致。</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3.主要指标上下年变动幅度超过5%，机构人员指标上下年变动幅度没有超过5%。</w:t>
      </w:r>
    </w:p>
    <w:p>
      <w:pPr>
        <w:spacing w:line="360" w:lineRule="auto"/>
        <w:ind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三、机关运行费安排情况</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康平县中心幼儿园为全额拨款事业单位，2021年机关运行费财政拨款预算为0万元。比2020年预算减少0万元，下降0%。</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四、政府采购安排情况</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2021年康平县中心幼儿园政府采购预算总额为0万元，其中：政府采购货物预算为0万元，政府采购工程预算为0万元，政府采购服务预算为0万元。</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五、“三公”经费增减变化原因等情况说明</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2021年康平县中心幼儿园一般公共预算“三公”经费预算数为0万元，其中：因公出国（境）费为0万元；公务接待费为0万元；公务用车购置及运行费0万元。2021年预算数比2020年预算数减少0万元，其中：因公出国（境）费比2020年减少0万元，主要由于无因公出国（境）费；公务接待费比2020年减少0万元，主要由于无公务接待费；公务用车购置及运行费比2020年减少0万元，主要由于无公务用车购置及运行费。</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六、预算绩效情况</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康平县中心幼儿园2021年没有设置单位整体绩效目标，但以实际发生为准。对于特定目标类项目单独设置绩效目标，涉及0个项目，金额0万元。</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七、国有资产占用使用情况</w:t>
      </w:r>
    </w:p>
    <w:p>
      <w:pPr>
        <w:pStyle w:val="4"/>
        <w:spacing w:before="0" w:beforeAutospacing="0" w:after="0" w:afterAutospacing="0"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康平县中心幼儿园本年度固定资产期末原值为7660627.53元，累计折旧2833144.21元，期末净值4827483.32元。截至2020年12月31日，康平县中心幼儿园有车辆0辆，其中：机要通信车0辆、特种专业技术用车0辆、离退休干部用车0辆、其他用车0辆。单位价值100万元以上大型设备0台（套）。</w:t>
      </w:r>
    </w:p>
    <w:p>
      <w:pPr>
        <w:pStyle w:val="4"/>
        <w:spacing w:before="0" w:beforeAutospacing="0" w:after="0" w:afterAutospacing="0"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2021年部门预算安排购置车辆0台，安排单位价值200万元以上大型设备0台。</w:t>
      </w:r>
    </w:p>
    <w:p>
      <w:pPr>
        <w:spacing w:line="360" w:lineRule="auto"/>
        <w:ind w:firstLine="560" w:firstLineChars="200"/>
        <w:rPr>
          <w:rFonts w:cs="宋体" w:asciiTheme="minorEastAsia" w:hAnsiTheme="minorEastAsia" w:eastAsiaTheme="minorEastAsia"/>
          <w:sz w:val="28"/>
          <w:szCs w:val="28"/>
        </w:rPr>
      </w:pPr>
    </w:p>
    <w:p>
      <w:pPr>
        <w:pStyle w:val="4"/>
        <w:spacing w:before="0" w:beforeAutospacing="0" w:after="0" w:afterAutospacing="0" w:line="360" w:lineRule="auto"/>
        <w:ind w:firstLine="562" w:firstLineChars="200"/>
        <w:rPr>
          <w:rFonts w:asciiTheme="minorEastAsia" w:hAnsiTheme="minorEastAsia" w:eastAsiaTheme="minorEastAsia"/>
          <w:b/>
          <w:sz w:val="28"/>
          <w:szCs w:val="28"/>
        </w:rPr>
      </w:pPr>
    </w:p>
    <w:p>
      <w:pPr>
        <w:pStyle w:val="4"/>
        <w:spacing w:before="0" w:beforeAutospacing="0" w:after="0" w:afterAutospacing="0" w:line="360" w:lineRule="auto"/>
        <w:ind w:left="420"/>
        <w:rPr>
          <w:rFonts w:asciiTheme="minorEastAsia" w:hAnsiTheme="minorEastAsia" w:eastAsiaTheme="minorEastAsia"/>
          <w:b/>
          <w:sz w:val="28"/>
          <w:szCs w:val="28"/>
        </w:rPr>
      </w:pPr>
      <w:r>
        <w:rPr>
          <w:rFonts w:hint="eastAsia" w:asciiTheme="minorEastAsia" w:hAnsiTheme="minorEastAsia" w:eastAsiaTheme="minorEastAsia"/>
          <w:sz w:val="28"/>
          <w:szCs w:val="28"/>
        </w:rPr>
        <w:t xml:space="preserve">  </w:t>
      </w:r>
      <w:r>
        <w:rPr>
          <w:rFonts w:hint="eastAsia" w:asciiTheme="minorEastAsia" w:hAnsiTheme="minorEastAsia" w:eastAsiaTheme="minorEastAsia"/>
          <w:b/>
          <w:sz w:val="28"/>
          <w:szCs w:val="28"/>
        </w:rPr>
        <w:t>八、名词解释</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1.财政拨款收入：指市级财政当年拨付的资金。</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2.上级补助收入：指事业单位从主管部门和上级单位取得的非财政补助收入。</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3.附属单位上缴收入：指已纳入部门预算管理的独立核算的附属单位按照有关规定上缴的收入。</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4. 其他收入：指除上述“财政拨款收入”、“纳入专户管理的预算外资金拨款”、“上级补助、附属单位上缴收入”以外的收入。</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5.一般公共服务（类）财政事务（款）行政运行（项）：反映行政单位（包括实行公务员管理的事业单位）的基本支出。</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6.一般公共服务（类）财政事务（款）一般行政管理事务（项）：反映行政单位（包括实行公务员管理的事业单位）未单独设置项级科目的其他项目支出。</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7.一般公共服务（类）财政事务（款）预算改革业务（项）：反映财政部门用于预算改革方面的支出。</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8.一般公共服务（类）财政事务（款）财政国库业务（项）：反映财政部门用于财政国库集中收付业务方面的支出。</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9.一般公共服务（类）财政事务（款）事业运行（项）：反映事业单位的基本支出，不包括行政单位（包括实行公务员管理的事业单位）后勤服务中心、医务室等附属事业单位。</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10.一般公共服务（类）财政事务（款）其他财政事务支出（项）：反映除上述项目以外其他财政事务方面的支出。</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11.社会保障和就业（类）行政事业单位离退休（款）归口管理的行政单位离退休（项）：反映实行归口管理的行政单位（包括实行公务员管理的事业单位）开支的离退休经费。</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12.社会保障和就业（类）行政事业单位离退休（款）事业单位离退休（项）：反映实行归口管理的事业单位开支的离退休经费。</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15.住房保障（类）住房改革（款）住房公积金（项）：反映行政事业单位按人力资源和社会保障部、财政部规定的基本工资和津贴补贴以及规定比例为职工缴纳的住房公积金。</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16. 基本支出：指保障机构正常运转、完成日常工作任务而发生的人员支出和公用支出。</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17. 项目支出：指在基本支出之外为完成特定行政任务和事业发展目标所发生的支出。</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18.“三公”经费：指用财政拨款安排的因公出国（境）费、公务用车购置及运行费和公务接待费。其中，因公出国（境）费反映单位公务出国（境）的住宿费、</w:t>
      </w:r>
      <w:r>
        <w:rPr>
          <w:rFonts w:hint="eastAsia" w:asciiTheme="minorEastAsia" w:hAnsiTheme="minorEastAsia" w:eastAsiaTheme="minorEastAsia"/>
          <w:sz w:val="28"/>
          <w:szCs w:val="28"/>
          <w:lang w:eastAsia="zh-CN"/>
        </w:rPr>
        <w:t>差</w:t>
      </w:r>
      <w:bookmarkStart w:id="0" w:name="_GoBack"/>
      <w:bookmarkEnd w:id="0"/>
      <w:r>
        <w:rPr>
          <w:rFonts w:hint="eastAsia" w:asciiTheme="minorEastAsia" w:hAnsiTheme="minorEastAsia" w:eastAsiaTheme="minorEastAsia"/>
          <w:sz w:val="28"/>
          <w:szCs w:val="28"/>
        </w:rPr>
        <w:t>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360" w:lineRule="auto"/>
        <w:ind w:firstLine="560" w:firstLineChars="200"/>
        <w:rPr>
          <w:rFonts w:cs="仿宋" w:asciiTheme="minorEastAsia" w:hAnsiTheme="minorEastAsia" w:eastAsiaTheme="minorEastAsia"/>
          <w:sz w:val="28"/>
          <w:szCs w:val="28"/>
        </w:rPr>
      </w:pPr>
    </w:p>
    <w:p>
      <w:pPr>
        <w:pStyle w:val="4"/>
        <w:spacing w:before="0" w:beforeAutospacing="0" w:after="0" w:afterAutospacing="0" w:line="360" w:lineRule="auto"/>
        <w:ind w:firstLine="562" w:firstLineChars="200"/>
        <w:rPr>
          <w:rFonts w:asciiTheme="minorEastAsia" w:hAnsiTheme="minorEastAsia" w:eastAsiaTheme="minorEastAsia"/>
          <w:b/>
          <w:sz w:val="28"/>
          <w:szCs w:val="28"/>
        </w:rPr>
      </w:pPr>
    </w:p>
    <w:p>
      <w:pPr>
        <w:pStyle w:val="10"/>
        <w:spacing w:line="360" w:lineRule="auto"/>
        <w:ind w:firstLine="548" w:firstLineChars="196"/>
        <w:rPr>
          <w:rFonts w:asciiTheme="minorEastAsia" w:hAnsiTheme="minorEastAsia" w:eastAsiaTheme="minorEastAsia"/>
          <w:sz w:val="28"/>
          <w:szCs w:val="28"/>
        </w:rPr>
      </w:pPr>
    </w:p>
    <w:p>
      <w:pPr>
        <w:pStyle w:val="10"/>
        <w:spacing w:line="360" w:lineRule="auto"/>
        <w:ind w:firstLine="366" w:firstLineChars="131"/>
        <w:rPr>
          <w:rFonts w:asciiTheme="minorEastAsia" w:hAnsiTheme="minorEastAsia" w:eastAsiaTheme="minorEastAsia"/>
          <w:sz w:val="28"/>
          <w:szCs w:val="28"/>
        </w:rPr>
      </w:pPr>
    </w:p>
    <w:p>
      <w:pPr>
        <w:spacing w:line="360" w:lineRule="auto"/>
        <w:rPr>
          <w:rFonts w:asciiTheme="minorEastAsia" w:hAnsiTheme="minorEastAsia" w:eastAsiaTheme="minorEastAsia"/>
          <w:sz w:val="28"/>
          <w:szCs w:val="28"/>
        </w:rPr>
      </w:pPr>
    </w:p>
    <w:p>
      <w:pPr>
        <w:spacing w:line="360" w:lineRule="auto"/>
        <w:ind w:firstLine="5460" w:firstLineChars="195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康平县中心幼儿园</w:t>
      </w:r>
    </w:p>
    <w:p>
      <w:pPr>
        <w:spacing w:line="360" w:lineRule="auto"/>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2021.1.19 </w:t>
      </w:r>
    </w:p>
    <w:p>
      <w:pPr>
        <w:spacing w:line="360" w:lineRule="auto"/>
        <w:rPr>
          <w:rFonts w:asciiTheme="minorEastAsia" w:hAnsiTheme="minorEastAsia" w:eastAsiaTheme="minorEastAsia"/>
          <w:sz w:val="28"/>
          <w:szCs w:val="28"/>
        </w:rPr>
      </w:pPr>
    </w:p>
    <w:p>
      <w:pPr>
        <w:spacing w:line="360" w:lineRule="auto"/>
        <w:rPr>
          <w:rFonts w:asciiTheme="minorEastAsia" w:hAnsiTheme="minorEastAsia" w:eastAsiaTheme="minorEastAsia"/>
          <w:sz w:val="28"/>
          <w:szCs w:val="28"/>
        </w:rPr>
      </w:pPr>
    </w:p>
    <w:p>
      <w:pPr>
        <w:spacing w:line="360" w:lineRule="auto"/>
        <w:rPr>
          <w:rFonts w:asciiTheme="minorEastAsia" w:hAnsiTheme="minorEastAsia" w:eastAsiaTheme="minorEastAsia"/>
          <w:sz w:val="28"/>
          <w:szCs w:val="28"/>
        </w:rPr>
      </w:pPr>
    </w:p>
    <w:p>
      <w:pPr>
        <w:spacing w:line="360" w:lineRule="auto"/>
        <w:rPr>
          <w:rFonts w:asciiTheme="minorEastAsia" w:hAnsiTheme="minorEastAsia" w:eastAsiaTheme="minorEastAsia"/>
          <w:sz w:val="28"/>
          <w:szCs w:val="28"/>
        </w:rPr>
      </w:pPr>
    </w:p>
    <w:p>
      <w:pPr>
        <w:spacing w:line="360" w:lineRule="auto"/>
        <w:rPr>
          <w:rFonts w:asciiTheme="minorEastAsia" w:hAnsiTheme="minorEastAsia" w:eastAsiaTheme="minorEastAsia"/>
          <w:sz w:val="28"/>
          <w:szCs w:val="28"/>
        </w:rPr>
      </w:pPr>
    </w:p>
    <w:p>
      <w:pPr>
        <w:spacing w:line="360" w:lineRule="auto"/>
        <w:rPr>
          <w:rFonts w:asciiTheme="minorEastAsia" w:hAnsiTheme="minorEastAsia" w:eastAsiaTheme="minorEastAsia"/>
          <w:sz w:val="28"/>
          <w:szCs w:val="28"/>
        </w:rPr>
      </w:pPr>
    </w:p>
    <w:p>
      <w:pPr>
        <w:spacing w:line="360" w:lineRule="auto"/>
        <w:rPr>
          <w:rFonts w:asciiTheme="minorEastAsia" w:hAnsiTheme="minorEastAsia" w:eastAsiaTheme="minorEastAsia"/>
          <w:sz w:val="28"/>
          <w:szCs w:val="28"/>
        </w:rPr>
      </w:pPr>
    </w:p>
    <w:p>
      <w:pPr>
        <w:spacing w:line="360" w:lineRule="auto"/>
        <w:rPr>
          <w:rFonts w:asciiTheme="minorEastAsia" w:hAnsiTheme="minorEastAsia" w:eastAsiaTheme="minorEastAsia"/>
          <w:sz w:val="28"/>
          <w:szCs w:val="28"/>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0438F2"/>
    <w:rsid w:val="0019550E"/>
    <w:rsid w:val="00323B43"/>
    <w:rsid w:val="003611CA"/>
    <w:rsid w:val="003819C2"/>
    <w:rsid w:val="003D37D8"/>
    <w:rsid w:val="00426133"/>
    <w:rsid w:val="004358AB"/>
    <w:rsid w:val="004672E8"/>
    <w:rsid w:val="004A78BA"/>
    <w:rsid w:val="004F2CE2"/>
    <w:rsid w:val="00500889"/>
    <w:rsid w:val="00794035"/>
    <w:rsid w:val="007B3AF4"/>
    <w:rsid w:val="007D5B83"/>
    <w:rsid w:val="008B7726"/>
    <w:rsid w:val="00997F09"/>
    <w:rsid w:val="009C0D3C"/>
    <w:rsid w:val="00B467A7"/>
    <w:rsid w:val="00B80B24"/>
    <w:rsid w:val="00BB7068"/>
    <w:rsid w:val="00BE0882"/>
    <w:rsid w:val="00D31D50"/>
    <w:rsid w:val="00EE635C"/>
    <w:rsid w:val="00F80ECF"/>
    <w:rsid w:val="737F15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7">
    <w:name w:val="Emphasis"/>
    <w:basedOn w:val="6"/>
    <w:qFormat/>
    <w:uiPriority w:val="20"/>
    <w:rPr>
      <w:i/>
      <w:iCs/>
    </w:rPr>
  </w:style>
  <w:style w:type="character" w:customStyle="1" w:styleId="8">
    <w:name w:val="页眉 Char"/>
    <w:basedOn w:val="6"/>
    <w:link w:val="3"/>
    <w:semiHidden/>
    <w:qFormat/>
    <w:uiPriority w:val="99"/>
    <w:rPr>
      <w:rFonts w:ascii="Tahoma" w:hAnsi="Tahoma"/>
      <w:sz w:val="18"/>
      <w:szCs w:val="18"/>
    </w:rPr>
  </w:style>
  <w:style w:type="character" w:customStyle="1" w:styleId="9">
    <w:name w:val="页脚 Char"/>
    <w:basedOn w:val="6"/>
    <w:link w:val="2"/>
    <w:semiHidden/>
    <w:qFormat/>
    <w:uiPriority w:val="99"/>
    <w:rPr>
      <w:rFonts w:ascii="Tahoma" w:hAnsi="Tahoma"/>
      <w:sz w:val="18"/>
      <w:szCs w:val="18"/>
    </w:rPr>
  </w:style>
  <w:style w:type="paragraph" w:styleId="10">
    <w:name w:val="List Paragraph"/>
    <w:basedOn w:val="1"/>
    <w:qFormat/>
    <w:uiPriority w:val="34"/>
    <w:pPr>
      <w:widowControl w:val="0"/>
      <w:adjustRightInd/>
      <w:snapToGrid/>
      <w:spacing w:after="0"/>
      <w:ind w:firstLine="420" w:firstLineChars="200"/>
      <w:jc w:val="both"/>
    </w:pPr>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380</Words>
  <Characters>2170</Characters>
  <Lines>18</Lines>
  <Paragraphs>5</Paragraphs>
  <TotalTime>375</TotalTime>
  <ScaleCrop>false</ScaleCrop>
  <LinksUpToDate>false</LinksUpToDate>
  <CharactersWithSpaces>2545</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2008-09-12T01:20:00Z</dcterms:created>
  <dc:creator>Administrator</dc:creator>
  <cp:lastModifiedBy>admin1</cp:lastModifiedBy>
  <dcterms:modified xsi:type="dcterms:W3CDTF">2025-09-01T13:57:02Z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C9E02D74B9A22E60AE35B568DCBFE350</vt:lpwstr>
  </property>
</Properties>
</file>