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48"/>
          <w:szCs w:val="48"/>
        </w:rPr>
      </w:pPr>
      <w:r>
        <w:rPr>
          <w:rFonts w:hint="eastAsia"/>
          <w:sz w:val="48"/>
          <w:szCs w:val="48"/>
        </w:rPr>
        <w:t>康平县人民法院2021年预算公开说明</w:t>
      </w:r>
    </w:p>
    <w:p>
      <w:pPr>
        <w:rPr>
          <w:rFonts w:hint="eastAsia"/>
          <w:b w:val="0"/>
          <w:bCs w:val="0"/>
          <w:sz w:val="36"/>
          <w:szCs w:val="36"/>
        </w:rPr>
      </w:pPr>
    </w:p>
    <w:p>
      <w:pPr>
        <w:rPr>
          <w:rFonts w:hint="eastAsia"/>
          <w:b w:val="0"/>
          <w:bCs w:val="0"/>
          <w:sz w:val="36"/>
          <w:szCs w:val="36"/>
        </w:rPr>
      </w:pPr>
      <w:r>
        <w:rPr>
          <w:rFonts w:hint="eastAsia"/>
          <w:b w:val="0"/>
          <w:bCs w:val="0"/>
          <w:sz w:val="36"/>
          <w:szCs w:val="36"/>
        </w:rPr>
        <w:t>一、部门主要职责及机构设置情况</w:t>
      </w:r>
    </w:p>
    <w:p>
      <w:pPr>
        <w:keepNext w:val="0"/>
        <w:keepLines w:val="0"/>
        <w:pageBreakBefore w:val="0"/>
        <w:widowControl w:val="0"/>
        <w:kinsoku/>
        <w:wordWrap/>
        <w:overflowPunct/>
        <w:topLinePunct w:val="0"/>
        <w:autoSpaceDE/>
        <w:autoSpaceDN/>
        <w:bidi w:val="0"/>
        <w:adjustRightInd/>
        <w:snapToGrid/>
        <w:spacing w:line="120" w:lineRule="auto"/>
        <w:ind w:firstLine="600" w:firstLineChars="200"/>
        <w:textAlignment w:val="auto"/>
        <w:rPr>
          <w:rFonts w:hint="eastAsia"/>
          <w:sz w:val="30"/>
          <w:szCs w:val="30"/>
        </w:rPr>
      </w:pPr>
      <w:r>
        <w:rPr>
          <w:rFonts w:hint="eastAsia"/>
          <w:sz w:val="30"/>
          <w:szCs w:val="30"/>
        </w:rPr>
        <w:t>主要职责：负责审理案件,解决基本民事、行政、刑事案件纠纷。</w:t>
      </w:r>
    </w:p>
    <w:p>
      <w:pPr>
        <w:keepNext w:val="0"/>
        <w:keepLines w:val="0"/>
        <w:pageBreakBefore w:val="0"/>
        <w:widowControl w:val="0"/>
        <w:kinsoku/>
        <w:wordWrap/>
        <w:overflowPunct/>
        <w:topLinePunct w:val="0"/>
        <w:autoSpaceDE/>
        <w:autoSpaceDN/>
        <w:bidi w:val="0"/>
        <w:adjustRightInd/>
        <w:snapToGrid/>
        <w:spacing w:line="120" w:lineRule="auto"/>
        <w:ind w:firstLine="600" w:firstLineChars="200"/>
        <w:textAlignment w:val="auto"/>
        <w:rPr>
          <w:rFonts w:hint="eastAsia"/>
          <w:sz w:val="30"/>
          <w:szCs w:val="30"/>
        </w:rPr>
      </w:pPr>
      <w:r>
        <w:rPr>
          <w:rFonts w:hint="eastAsia"/>
          <w:sz w:val="30"/>
          <w:szCs w:val="30"/>
        </w:rPr>
        <w:t>康平县人民法院21个室（部），部门领导，政治处，纪检组，监察室，研究室，审判管理办公室、督查室，办公室，执行分局(执行一庭，执行二庭，执行三庭)，立案一庭，立案二庭，审判监督庭，行政审判庭，刑事审判庭（未成年人审判庭），民事审判一庭，民事审判二庭，巡回法庭，法警大队，张强法庭，北四家子法庭,新闻局。</w:t>
      </w:r>
    </w:p>
    <w:p>
      <w:pPr>
        <w:rPr>
          <w:rFonts w:hint="eastAsia"/>
          <w:b w:val="0"/>
          <w:bCs w:val="0"/>
          <w:sz w:val="36"/>
          <w:szCs w:val="36"/>
        </w:rPr>
      </w:pPr>
      <w:r>
        <w:rPr>
          <w:rFonts w:hint="eastAsia"/>
          <w:b w:val="0"/>
          <w:bCs w:val="0"/>
          <w:sz w:val="36"/>
          <w:szCs w:val="36"/>
        </w:rPr>
        <w:t>二、预算收支增减变化情况</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按照综合决算的原则，康平县人民法院本级所有收入和支出均纳入部门预算管理。</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2021年度财政拨款预算953.65万元，收入、支出平衡。</w:t>
      </w:r>
    </w:p>
    <w:p>
      <w:pPr>
        <w:rPr>
          <w:rFonts w:hint="eastAsia"/>
          <w:b w:val="0"/>
          <w:bCs w:val="0"/>
          <w:sz w:val="36"/>
          <w:szCs w:val="36"/>
        </w:rPr>
      </w:pPr>
      <w:r>
        <w:rPr>
          <w:rFonts w:hint="eastAsia"/>
          <w:b w:val="0"/>
          <w:bCs w:val="0"/>
          <w:sz w:val="36"/>
          <w:szCs w:val="36"/>
        </w:rPr>
        <w:t>三、机关运行费安排情况</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机关运行费安排情况：78万元。</w:t>
      </w:r>
    </w:p>
    <w:p>
      <w:pPr>
        <w:rPr>
          <w:rFonts w:hint="eastAsia"/>
          <w:b w:val="0"/>
          <w:bCs w:val="0"/>
          <w:sz w:val="36"/>
          <w:szCs w:val="36"/>
        </w:rPr>
      </w:pPr>
      <w:r>
        <w:rPr>
          <w:rFonts w:hint="eastAsia"/>
          <w:b w:val="0"/>
          <w:bCs w:val="0"/>
          <w:sz w:val="36"/>
          <w:szCs w:val="36"/>
        </w:rPr>
        <w:t>四、政府采购安排情况</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预算未安排政府采购。</w:t>
      </w:r>
    </w:p>
    <w:p>
      <w:pPr>
        <w:rPr>
          <w:rFonts w:hint="eastAsia"/>
          <w:b w:val="0"/>
          <w:bCs w:val="0"/>
          <w:sz w:val="36"/>
          <w:szCs w:val="36"/>
        </w:rPr>
      </w:pPr>
      <w:r>
        <w:rPr>
          <w:rFonts w:hint="eastAsia"/>
          <w:b w:val="0"/>
          <w:bCs w:val="0"/>
          <w:sz w:val="36"/>
          <w:szCs w:val="36"/>
        </w:rPr>
        <w:t>五、“三公”经费增减变化原因等情况说明</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关于康平县人民法院一般公共预算 2021 年“三公”经费预算支出情况说明</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2021年“三公”</w:t>
      </w:r>
      <w:bookmarkStart w:id="0" w:name="_GoBack"/>
      <w:bookmarkEnd w:id="0"/>
      <w:r>
        <w:rPr>
          <w:rFonts w:hint="eastAsia"/>
          <w:sz w:val="30"/>
          <w:szCs w:val="30"/>
        </w:rPr>
        <w:t>经费只有公务车辆运行费80万元，与上年相比无变化。</w:t>
      </w:r>
    </w:p>
    <w:p>
      <w:pPr>
        <w:rPr>
          <w:rFonts w:hint="eastAsia"/>
          <w:b w:val="0"/>
          <w:bCs w:val="0"/>
          <w:sz w:val="36"/>
          <w:szCs w:val="36"/>
        </w:rPr>
      </w:pPr>
      <w:r>
        <w:rPr>
          <w:rFonts w:hint="eastAsia"/>
          <w:b w:val="0"/>
          <w:bCs w:val="0"/>
          <w:sz w:val="36"/>
          <w:szCs w:val="36"/>
        </w:rPr>
        <w:t>六、预算绩效情况</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根据预算绩效管理要求，康平县人民法院在 2021 年应编制部门整体绩效目标0个，实际编制0个，编制部门整体绩效目标覆盖率为0。2021 年应编制绩效目标的特定目标类项目共0个，实际编制绩效目标的特定目标类项目共0个，编制特定目标 类项目绩效目标覆盖率为0。</w:t>
      </w:r>
    </w:p>
    <w:p>
      <w:pPr>
        <w:rPr>
          <w:rFonts w:hint="eastAsia"/>
          <w:b w:val="0"/>
          <w:bCs w:val="0"/>
          <w:sz w:val="36"/>
          <w:szCs w:val="36"/>
        </w:rPr>
      </w:pPr>
      <w:r>
        <w:rPr>
          <w:rFonts w:hint="eastAsia"/>
          <w:b w:val="0"/>
          <w:bCs w:val="0"/>
          <w:sz w:val="36"/>
          <w:szCs w:val="36"/>
        </w:rPr>
        <w:t>七、国有资产占用使用情况</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截至2021年 12 月 31 日，康平县人民法院共有车辆 17 辆，其中：省部级领导干部用车 0 辆、 一般公务用车1 辆、一般执法执勤用车 16辆、特种专业技术用车0辆、其他用车0辆。单位价值 200 万元以上大型 设备 0 台（套）。</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 xml:space="preserve"> 2022 年部门预算安排购置车辆0台，安排单位价值 200 万元以上大型设备 0 台机关运行经费安排情况。 </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b w:val="0"/>
          <w:bCs w:val="0"/>
          <w:sz w:val="36"/>
          <w:szCs w:val="36"/>
        </w:rPr>
        <w:t>八、政府采购预算安排情况。</w:t>
      </w:r>
      <w:r>
        <w:rPr>
          <w:rFonts w:hint="eastAsia"/>
        </w:rPr>
        <w:t xml:space="preserve"> </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2021年康平县人民法院各单位政府采购预算总额 0 万元，其中：政府采购货物预算 0 万元、政府采购工程预算 0 万元、政府采购服务预算 0万元</w:t>
      </w:r>
    </w:p>
    <w:p>
      <w:pPr>
        <w:keepNext w:val="0"/>
        <w:keepLines w:val="0"/>
        <w:pageBreakBefore w:val="0"/>
        <w:widowControl w:val="0"/>
        <w:kinsoku/>
        <w:wordWrap/>
        <w:overflowPunct/>
        <w:topLinePunct w:val="0"/>
        <w:autoSpaceDE/>
        <w:autoSpaceDN/>
        <w:bidi w:val="0"/>
        <w:adjustRightInd/>
        <w:snapToGrid/>
        <w:textAlignment w:val="auto"/>
        <w:rPr>
          <w:rFonts w:hint="eastAsia"/>
          <w:b w:val="0"/>
          <w:bCs w:val="0"/>
          <w:sz w:val="36"/>
          <w:szCs w:val="36"/>
        </w:rPr>
      </w:pPr>
      <w:r>
        <w:rPr>
          <w:rFonts w:hint="eastAsia"/>
          <w:b w:val="0"/>
          <w:bCs w:val="0"/>
          <w:sz w:val="36"/>
          <w:szCs w:val="36"/>
        </w:rPr>
        <w:t>九、名词解释</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1.财政拨款收入：指市级财政当年拨付的资金。</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2.上级补助收入：指事业单位从主管部门和上级单位取得的非财政补助收入。</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3.附属单位上缴收入：指已纳入部门预算管理的独立核算的附属单位按照有关规定上缴的收入。</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4. 其他收入：指除上述“财政拨款收入”、“纳入专户管理的预算外资金拨款”、“上级补助、附属单位上缴收入”以外的收入。</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5.一般公共服务（类）财政事务（款）行政运行（项）：反映行政单位（包括实行公务员管理的事业单位）的基本支出。</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6.一般公共服务（类）财政事务（款）一般行政管理事务（项）：反映行政单位（包括实行公务员管理的事业单位）未单独设置项级科目的其他项目支出。</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7.一般公共服务（类）财政事务（款）预算改革业务（项）：反映财政部门用于预算改革方面的支出。</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8.一般公共服务（类）财政事务（款）财政国库业务（项）：反映财政部门用于财政国库集中收付业务方面的支出。</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9.一般公共服务（类）财政事务（款）事业运行（项）：反映事业单位的基本支出，不包括行政单位（包括实行公务员管理的事业单位）后勤服务中心、医务室等附属事业单位。</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10.一般公共服务（类）财政事务（款）其他财政事务支出（项）：反映除上述项目以外其他财政事务方面的支出。</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11.社会保障和就业（类）行政事业单位离退休（款）归口管理的行政单位离退休（项）：反映实行归口管理的行政单位（包括实行公务员管理的事业单位）开支的离退休经费。</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12.社会保障和就业（类）行政事业单位离退休（款）事业单位离退休（项）：反映实行归口管理的事业单位开支的离退休经费。</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15.住房保障（类）住房改革（款）住房公积金（项）：反映行政事业单位按人力资源和社会保障部、财政部规定的基本工资和津贴补贴以及规定比例为职工缴纳的住房公积金。</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16. 基本支出：指保障机构正常运转、完成日常工作任务而发生的人员支出和公用支出。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17. 项目支出：指在基本支出之外为完成特定行政任务和事业发展目标所发生的支出。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r>
        <w:rPr>
          <w:rFonts w:hint="eastAsia"/>
          <w:sz w:val="30"/>
          <w:szCs w:val="30"/>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3839AB"/>
    <w:rsid w:val="0E3839AB"/>
    <w:rsid w:val="DE36C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2022-03-10T08:45:00Z</dcterms:created>
  <dc:creator>lenovo</dc:creator>
  <cp:lastModifiedBy>admin1</cp:lastModifiedBy>
  <cp:lastPrinted>2022-03-10T08:51:00Z</cp:lastPrinted>
  <dcterms:modified xsi:type="dcterms:W3CDTF">2025-09-01T11:32:16Z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422ABFDE1E444509AE4E91FF119BC578</vt:lpwstr>
  </property>
</Properties>
</file>