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jc w:val="both"/>
        <w:rPr>
          <w:rFonts w:ascii="黑体" w:hAnsi="黑体" w:eastAsia="黑体"/>
          <w:sz w:val="44"/>
          <w:szCs w:val="44"/>
        </w:rPr>
      </w:pPr>
      <w:r>
        <w:rPr>
          <w:rFonts w:hint="eastAsia" w:ascii="黑体" w:hAnsi="黑体" w:eastAsia="黑体"/>
          <w:sz w:val="44"/>
          <w:szCs w:val="44"/>
        </w:rPr>
        <w:t>中国共产党沈阳市康平县纪律检查委员会</w:t>
      </w:r>
    </w:p>
    <w:p>
      <w:pPr>
        <w:adjustRightInd/>
        <w:jc w:val="center"/>
        <w:rPr>
          <w:rFonts w:ascii="黑体" w:hAnsi="黑体" w:eastAsia="黑体"/>
          <w:sz w:val="44"/>
          <w:szCs w:val="44"/>
        </w:rPr>
      </w:pPr>
      <w:r>
        <w:rPr>
          <w:rFonts w:hint="eastAsia" w:ascii="黑体" w:hAnsi="黑体" w:eastAsia="黑体"/>
          <w:sz w:val="44"/>
          <w:szCs w:val="44"/>
        </w:rPr>
        <w:t>2017年度决算公开文字说明</w:t>
      </w:r>
    </w:p>
    <w:p>
      <w:pPr>
        <w:adjustRightInd/>
        <w:jc w:val="center"/>
        <w:rPr>
          <w:rFonts w:ascii="仿宋" w:hAnsi="仿宋" w:eastAsia="仿宋"/>
          <w:sz w:val="32"/>
          <w:szCs w:val="32"/>
        </w:rPr>
      </w:pP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一、主要职能及机构设置：</w:t>
      </w: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中共康平县纪委在康平县党委和沈阳市纪委领导下，在党内监督方面履行下列职责：</w:t>
      </w:r>
    </w:p>
    <w:p>
      <w:pPr>
        <w:tabs>
          <w:tab w:val="left" w:pos="1100"/>
        </w:tabs>
        <w:adjustRightInd/>
        <w:spacing w:after="0" w:line="560" w:lineRule="exact"/>
        <w:ind w:left="440" w:leftChars="200"/>
        <w:rPr>
          <w:rFonts w:ascii="仿宋" w:hAnsi="仿宋" w:eastAsia="仿宋"/>
          <w:sz w:val="32"/>
          <w:szCs w:val="32"/>
        </w:rPr>
      </w:pPr>
      <w:r>
        <w:rPr>
          <w:rFonts w:hint="eastAsia" w:ascii="仿宋" w:hAnsi="仿宋" w:eastAsia="仿宋"/>
          <w:sz w:val="32"/>
          <w:szCs w:val="32"/>
        </w:rPr>
        <w:t>1.协助同级党的委员会组织协调党内监督工作，组织开展对党内监督工作的督促检查；</w:t>
      </w:r>
    </w:p>
    <w:p>
      <w:pPr>
        <w:tabs>
          <w:tab w:val="left" w:pos="1100"/>
        </w:tabs>
        <w:adjustRightInd/>
        <w:spacing w:after="0" w:line="560" w:lineRule="exact"/>
        <w:ind w:left="440" w:leftChars="200"/>
        <w:rPr>
          <w:rFonts w:ascii="仿宋" w:hAnsi="仿宋" w:eastAsia="仿宋"/>
          <w:sz w:val="32"/>
          <w:szCs w:val="32"/>
        </w:rPr>
      </w:pPr>
      <w:r>
        <w:rPr>
          <w:rFonts w:hint="eastAsia" w:ascii="仿宋" w:hAnsi="仿宋" w:eastAsia="仿宋"/>
          <w:sz w:val="32"/>
          <w:szCs w:val="32"/>
        </w:rPr>
        <w:t>2.对党员领导干部履行职责和行使权力情况进行监督；</w:t>
      </w:r>
    </w:p>
    <w:p>
      <w:pPr>
        <w:tabs>
          <w:tab w:val="left" w:pos="1100"/>
        </w:tabs>
        <w:adjustRightInd/>
        <w:spacing w:after="0" w:line="560" w:lineRule="exact"/>
        <w:ind w:left="440" w:leftChars="200"/>
        <w:rPr>
          <w:rFonts w:ascii="仿宋" w:hAnsi="仿宋" w:eastAsia="仿宋"/>
          <w:sz w:val="32"/>
          <w:szCs w:val="32"/>
        </w:rPr>
      </w:pPr>
      <w:r>
        <w:rPr>
          <w:rFonts w:hint="eastAsia" w:ascii="仿宋" w:hAnsi="仿宋" w:eastAsia="仿宋"/>
          <w:sz w:val="32"/>
          <w:szCs w:val="32"/>
        </w:rPr>
        <w:t>3.检查和处理党的组织和党员违反党的章程和其他党内法规的比较重要或复杂的案件；</w:t>
      </w:r>
    </w:p>
    <w:p>
      <w:pPr>
        <w:tabs>
          <w:tab w:val="left" w:pos="1100"/>
        </w:tabs>
        <w:adjustRightInd/>
        <w:spacing w:after="0" w:line="560" w:lineRule="exact"/>
        <w:ind w:firstLine="438" w:firstLineChars="137"/>
        <w:rPr>
          <w:rFonts w:ascii="仿宋" w:hAnsi="仿宋" w:eastAsia="仿宋"/>
          <w:sz w:val="32"/>
          <w:szCs w:val="32"/>
        </w:rPr>
      </w:pPr>
      <w:r>
        <w:rPr>
          <w:rFonts w:hint="eastAsia" w:ascii="仿宋" w:hAnsi="仿宋" w:eastAsia="仿宋"/>
          <w:sz w:val="32"/>
          <w:szCs w:val="32"/>
        </w:rPr>
        <w:t>4.向同级党委和上一级纪委报告党内监督工作情况，提出建议，依照权限组织起草、制定有关规定和制度，作出关于维护党纪的决定；</w:t>
      </w:r>
    </w:p>
    <w:p>
      <w:pPr>
        <w:tabs>
          <w:tab w:val="left" w:pos="1100"/>
        </w:tabs>
        <w:adjustRightInd/>
        <w:spacing w:after="0" w:line="560" w:lineRule="exact"/>
        <w:ind w:left="440" w:leftChars="200"/>
        <w:rPr>
          <w:rFonts w:ascii="仿宋" w:hAnsi="仿宋" w:eastAsia="仿宋"/>
          <w:sz w:val="32"/>
          <w:szCs w:val="32"/>
        </w:rPr>
      </w:pPr>
      <w:r>
        <w:rPr>
          <w:rFonts w:hint="eastAsia" w:ascii="仿宋" w:hAnsi="仿宋" w:eastAsia="仿宋"/>
          <w:sz w:val="32"/>
          <w:szCs w:val="32"/>
        </w:rPr>
        <w:t>5.受理对党组织和党员违犯党纪行为的检举和党员的控告、申诉，保障党员的权利。</w:t>
      </w:r>
    </w:p>
    <w:p>
      <w:pPr>
        <w:pStyle w:val="5"/>
        <w:spacing w:before="0" w:beforeAutospacing="0" w:after="0" w:afterAutospacing="0" w:line="560" w:lineRule="exact"/>
        <w:ind w:firstLine="438" w:firstLineChars="137"/>
        <w:rPr>
          <w:rFonts w:ascii="仿宋" w:hAnsi="仿宋" w:eastAsia="仿宋"/>
          <w:sz w:val="32"/>
          <w:szCs w:val="32"/>
        </w:rPr>
      </w:pPr>
      <w:r>
        <w:rPr>
          <w:rFonts w:hint="eastAsia" w:ascii="仿宋" w:hAnsi="仿宋" w:eastAsia="仿宋"/>
          <w:sz w:val="32"/>
          <w:szCs w:val="32"/>
        </w:rPr>
        <w:t>中共康平县纪委是一个独立编制机构。编制人数为：行政编事业编制共64人、工勤2人，2017年末实有31人：行政事业编制共29人、工勤2人、退休2人。</w:t>
      </w:r>
    </w:p>
    <w:p>
      <w:pPr>
        <w:widowControl w:val="0"/>
        <w:adjustRightInd/>
        <w:snapToGrid/>
        <w:spacing w:after="0" w:line="560" w:lineRule="exact"/>
        <w:ind w:firstLine="640" w:firstLineChars="200"/>
        <w:jc w:val="both"/>
        <w:rPr>
          <w:rFonts w:ascii="仿宋" w:hAnsi="仿宋" w:eastAsia="仿宋"/>
          <w:sz w:val="32"/>
          <w:szCs w:val="32"/>
        </w:rPr>
      </w:pPr>
      <w:r>
        <w:rPr>
          <w:rFonts w:hint="eastAsia" w:ascii="仿宋" w:hAnsi="仿宋" w:eastAsia="仿宋"/>
          <w:sz w:val="32"/>
          <w:szCs w:val="32"/>
        </w:rPr>
        <w:t>二、预决算收支情况</w:t>
      </w: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中共康平县纪检委各项收入均为财政拨款收入，2017年收入数7,739,384.23元，16年度4,706,896.57元；增加3038487.66，变化原因为增加正风肃纪项目。2017年决算数7,739,384.23元，支出数4,706,896.57，增加3038487.66，变化原因为增加正风肃纪项目。</w:t>
      </w: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三、机关运行费情况</w:t>
      </w: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中共康平县纪委2017年度机关运行费252932.02元，2016年机关运行费用793065元，2017年度本单位严格遵照财政要求，严格内控制度，机关运行经费支出减少。</w:t>
      </w: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四、政府采购情况</w:t>
      </w: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中共康平县纪委2017年无政府采购安排。</w:t>
      </w: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五、三公经费情况</w:t>
      </w:r>
    </w:p>
    <w:p>
      <w:pPr>
        <w:adjustRightInd/>
        <w:spacing w:after="0" w:line="560" w:lineRule="exact"/>
        <w:ind w:right="-273" w:rightChars="-124" w:firstLine="555"/>
        <w:rPr>
          <w:rFonts w:ascii="仿宋" w:hAnsi="仿宋" w:eastAsia="仿宋"/>
          <w:sz w:val="32"/>
          <w:szCs w:val="32"/>
        </w:rPr>
      </w:pPr>
      <w:r>
        <w:rPr>
          <w:rFonts w:hint="eastAsia" w:ascii="仿宋" w:hAnsi="仿宋" w:eastAsia="仿宋"/>
          <w:sz w:val="32"/>
          <w:szCs w:val="32"/>
        </w:rPr>
        <w:t>中共康平县纪检委</w:t>
      </w:r>
      <w:bookmarkStart w:id="0" w:name="_GoBack"/>
      <w:bookmarkEnd w:id="0"/>
      <w:r>
        <w:rPr>
          <w:rFonts w:hint="eastAsia" w:ascii="仿宋" w:hAnsi="仿宋" w:eastAsia="仿宋"/>
          <w:sz w:val="32"/>
          <w:szCs w:val="32"/>
          <w:lang w:eastAsia="zh-CN"/>
        </w:rPr>
        <w:t>“三公”经费</w:t>
      </w:r>
      <w:r>
        <w:rPr>
          <w:rFonts w:hint="eastAsia" w:ascii="仿宋" w:hAnsi="仿宋" w:eastAsia="仿宋"/>
          <w:sz w:val="32"/>
          <w:szCs w:val="32"/>
        </w:rPr>
        <w:t>本年度104900元，16年度122600元，减少17700元，因为本年度车辆报废1台，车辆维护费用减少。</w:t>
      </w: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六、国有资产占用情况</w:t>
      </w:r>
    </w:p>
    <w:p>
      <w:pPr>
        <w:adjustRightInd/>
        <w:spacing w:after="0" w:line="560" w:lineRule="exact"/>
        <w:ind w:firstLine="555"/>
        <w:rPr>
          <w:rFonts w:ascii="仿宋" w:hAnsi="仿宋" w:eastAsia="仿宋"/>
          <w:sz w:val="32"/>
          <w:szCs w:val="32"/>
        </w:rPr>
      </w:pPr>
      <w:r>
        <w:rPr>
          <w:rFonts w:hint="eastAsia" w:ascii="仿宋" w:hAnsi="仿宋" w:eastAsia="仿宋"/>
          <w:sz w:val="32"/>
          <w:szCs w:val="32"/>
        </w:rPr>
        <w:t>2017年度共有4辆公务用车，总价值653240元，2016年度共有5辆公务用车，总价值769240元。17年度公务用车报废1辆，价值116000元。无200万元以上设备。</w:t>
      </w:r>
    </w:p>
    <w:p>
      <w:pPr>
        <w:adjustRightInd/>
        <w:spacing w:after="0" w:line="560" w:lineRule="exact"/>
        <w:ind w:firstLine="640" w:firstLineChars="200"/>
        <w:rPr>
          <w:rFonts w:ascii="仿宋" w:hAnsi="仿宋" w:eastAsia="仿宋"/>
          <w:sz w:val="32"/>
          <w:szCs w:val="32"/>
        </w:rPr>
      </w:pPr>
      <w:r>
        <w:rPr>
          <w:rFonts w:hint="eastAsia" w:ascii="仿宋" w:hAnsi="仿宋" w:eastAsia="仿宋"/>
          <w:sz w:val="32"/>
          <w:szCs w:val="32"/>
        </w:rPr>
        <w:t>七、预算绩效管理工作开展情况</w:t>
      </w:r>
    </w:p>
    <w:p>
      <w:pPr>
        <w:ind w:firstLine="480" w:firstLineChars="150"/>
        <w:rPr>
          <w:rFonts w:ascii="仿宋_GB2312" w:hAnsi="仿宋" w:eastAsia="仿宋_GB2312" w:cs="宋体"/>
          <w:color w:val="000000"/>
          <w:sz w:val="32"/>
          <w:szCs w:val="32"/>
        </w:rPr>
      </w:pPr>
      <w:r>
        <w:rPr>
          <w:rFonts w:hint="eastAsia" w:ascii="仿宋" w:hAnsi="仿宋" w:eastAsia="仿宋"/>
          <w:sz w:val="32"/>
          <w:szCs w:val="32"/>
        </w:rPr>
        <w:t>2017年度</w:t>
      </w:r>
      <w:r>
        <w:rPr>
          <w:rFonts w:ascii="仿宋_GB2312" w:hAnsi="仿宋" w:eastAsia="仿宋_GB2312" w:cs="仿宋_GB2312"/>
          <w:sz w:val="32"/>
          <w:szCs w:val="32"/>
        </w:rPr>
        <w:t>，</w:t>
      </w:r>
      <w:r>
        <w:rPr>
          <w:rFonts w:ascii="仿宋_GB2312" w:hAnsi="宋体" w:eastAsia="仿宋_GB2312" w:cs="宋体"/>
          <w:sz w:val="32"/>
          <w:szCs w:val="32"/>
        </w:rPr>
        <w:t>认真贯彻落实财政部预算绩效管理工作要求，深化预算绩效管理工作，不断完善预算绩效管理制度</w:t>
      </w:r>
      <w:r>
        <w:rPr>
          <w:rFonts w:hint="eastAsia" w:ascii="仿宋_GB2312" w:hAnsi="宋体" w:eastAsia="仿宋_GB2312" w:cs="宋体"/>
          <w:sz w:val="32"/>
          <w:szCs w:val="32"/>
        </w:rPr>
        <w:t>，夯实工作，完成财政预算管理工作要求。</w:t>
      </w:r>
      <w:r>
        <w:rPr>
          <w:rFonts w:hint="eastAsia" w:ascii="仿宋_GB2312" w:hAnsi="仿宋" w:eastAsia="仿宋_GB2312" w:cs="宋体"/>
          <w:color w:val="000000"/>
          <w:sz w:val="32"/>
          <w:szCs w:val="32"/>
        </w:rPr>
        <w:t>本年不涉及民生项目和重点支出项目，故无绩效评价情况公开。</w:t>
      </w:r>
    </w:p>
    <w:p>
      <w:pPr>
        <w:pStyle w:val="13"/>
        <w:numPr>
          <w:ilvl w:val="0"/>
          <w:numId w:val="1"/>
        </w:numPr>
        <w:adjustRightInd/>
        <w:spacing w:after="0" w:line="560" w:lineRule="exact"/>
        <w:ind w:firstLineChars="0"/>
        <w:rPr>
          <w:rFonts w:ascii="仿宋_GB2312" w:hAnsi="宋体" w:eastAsia="仿宋_GB2312" w:cs="宋体"/>
          <w:sz w:val="32"/>
          <w:szCs w:val="32"/>
        </w:rPr>
      </w:pPr>
      <w:r>
        <w:rPr>
          <w:rFonts w:hint="eastAsia" w:ascii="仿宋_GB2312" w:hAnsi="宋体" w:eastAsia="仿宋_GB2312" w:cs="宋体"/>
          <w:sz w:val="32"/>
          <w:szCs w:val="32"/>
        </w:rPr>
        <w:t>名词解释、</w:t>
      </w:r>
    </w:p>
    <w:p>
      <w:pPr>
        <w:ind w:firstLine="642" w:firstLineChars="200"/>
        <w:rPr>
          <w:rFonts w:ascii="仿宋" w:hAnsi="仿宋" w:eastAsia="仿宋"/>
          <w:sz w:val="32"/>
        </w:rPr>
      </w:pPr>
      <w:r>
        <w:rPr>
          <w:rFonts w:hint="eastAsia" w:ascii="仿宋" w:hAnsi="仿宋" w:eastAsia="仿宋"/>
          <w:b/>
          <w:sz w:val="32"/>
        </w:rPr>
        <w:t>1.财政拨款收入：</w:t>
      </w:r>
      <w:r>
        <w:rPr>
          <w:rFonts w:hint="eastAsia" w:ascii="仿宋" w:hAnsi="仿宋" w:eastAsia="仿宋"/>
          <w:sz w:val="32"/>
        </w:rPr>
        <w:t>指市级财政当年拨付的资金。</w:t>
      </w:r>
    </w:p>
    <w:p>
      <w:pPr>
        <w:ind w:firstLine="642" w:firstLineChars="200"/>
        <w:rPr>
          <w:rFonts w:ascii="仿宋" w:hAnsi="仿宋" w:eastAsia="仿宋"/>
          <w:b/>
          <w:sz w:val="32"/>
        </w:rPr>
      </w:pPr>
      <w:r>
        <w:rPr>
          <w:rFonts w:hint="eastAsia" w:ascii="仿宋" w:hAnsi="仿宋" w:eastAsia="仿宋"/>
          <w:b/>
          <w:sz w:val="32"/>
        </w:rPr>
        <w:t>2.上级补助收入：</w:t>
      </w:r>
      <w:r>
        <w:rPr>
          <w:rFonts w:hint="eastAsia" w:ascii="仿宋" w:hAnsi="仿宋" w:eastAsia="仿宋"/>
          <w:sz w:val="32"/>
        </w:rPr>
        <w:t>指事业单位从主管部门和上级单位取得的非财政补助收入。</w:t>
      </w:r>
    </w:p>
    <w:p>
      <w:pPr>
        <w:ind w:firstLine="642" w:firstLineChars="200"/>
        <w:rPr>
          <w:rFonts w:ascii="仿宋" w:hAnsi="仿宋" w:eastAsia="仿宋"/>
          <w:sz w:val="32"/>
        </w:rPr>
      </w:pPr>
      <w:r>
        <w:rPr>
          <w:rFonts w:hint="eastAsia" w:ascii="仿宋" w:hAnsi="仿宋" w:eastAsia="仿宋"/>
          <w:b/>
          <w:sz w:val="32"/>
        </w:rPr>
        <w:t>3.附属单位上缴收入：</w:t>
      </w:r>
      <w:r>
        <w:rPr>
          <w:rFonts w:hint="eastAsia" w:ascii="仿宋" w:hAnsi="仿宋" w:eastAsia="仿宋"/>
          <w:sz w:val="32"/>
        </w:rPr>
        <w:t>指已纳入部门预算管理的独立核算的附属单位按照有关规定上缴的收入。</w:t>
      </w:r>
    </w:p>
    <w:p>
      <w:pPr>
        <w:ind w:firstLine="642" w:firstLineChars="200"/>
        <w:rPr>
          <w:rFonts w:ascii="仿宋" w:hAnsi="仿宋" w:eastAsia="仿宋"/>
          <w:sz w:val="32"/>
        </w:rPr>
      </w:pPr>
      <w:r>
        <w:rPr>
          <w:rFonts w:hint="eastAsia" w:ascii="仿宋" w:hAnsi="仿宋" w:eastAsia="仿宋"/>
          <w:b/>
          <w:sz w:val="32"/>
        </w:rPr>
        <w:t>4.其他收入：</w:t>
      </w:r>
      <w:r>
        <w:rPr>
          <w:rFonts w:hint="eastAsia" w:ascii="仿宋" w:hAnsi="仿宋" w:eastAsia="仿宋"/>
          <w:sz w:val="32"/>
        </w:rPr>
        <w:t>指除上述“财政拨款收入”、“纳入专户管理的预算外资金拨款”、“上级补助、附属单位上缴收入”以外的收入。</w:t>
      </w:r>
    </w:p>
    <w:p>
      <w:pPr>
        <w:ind w:firstLine="642" w:firstLineChars="200"/>
        <w:rPr>
          <w:rFonts w:ascii="仿宋" w:hAnsi="仿宋" w:eastAsia="仿宋"/>
          <w:b/>
          <w:sz w:val="32"/>
        </w:rPr>
      </w:pPr>
      <w:r>
        <w:rPr>
          <w:rFonts w:hint="eastAsia" w:ascii="仿宋" w:hAnsi="仿宋" w:eastAsia="仿宋"/>
          <w:b/>
          <w:sz w:val="32"/>
        </w:rPr>
        <w:t>5.一般公共服务（类）财政事务（款）行政运行（项）：</w:t>
      </w:r>
      <w:r>
        <w:rPr>
          <w:rFonts w:hint="eastAsia" w:ascii="仿宋" w:hAnsi="仿宋" w:eastAsia="仿宋"/>
          <w:sz w:val="32"/>
        </w:rPr>
        <w:t>反映行政单位（包括实行公务员管理的事业单位）的基本支出。</w:t>
      </w:r>
    </w:p>
    <w:p>
      <w:pPr>
        <w:ind w:firstLine="642" w:firstLineChars="200"/>
        <w:rPr>
          <w:rFonts w:ascii="仿宋" w:hAnsi="仿宋" w:eastAsia="仿宋"/>
          <w:b/>
          <w:sz w:val="32"/>
        </w:rPr>
      </w:pPr>
      <w:r>
        <w:rPr>
          <w:rFonts w:hint="eastAsia" w:ascii="仿宋" w:hAnsi="仿宋" w:eastAsia="仿宋"/>
          <w:b/>
          <w:sz w:val="32"/>
        </w:rPr>
        <w:t>6.一般公共服务（类）财政事务（款）一般行政管理事务（项）：</w:t>
      </w:r>
      <w:r>
        <w:rPr>
          <w:rFonts w:hint="eastAsia" w:ascii="仿宋" w:hAnsi="仿宋" w:eastAsia="仿宋"/>
          <w:sz w:val="32"/>
        </w:rPr>
        <w:t>反映行政单位（包括实行公务员管理的事业单位）未单独设置项级科目的其他项目支出。</w:t>
      </w:r>
    </w:p>
    <w:p>
      <w:pPr>
        <w:ind w:firstLine="642" w:firstLineChars="200"/>
        <w:rPr>
          <w:rFonts w:ascii="仿宋" w:hAnsi="仿宋" w:eastAsia="仿宋"/>
          <w:b/>
          <w:sz w:val="32"/>
        </w:rPr>
      </w:pPr>
      <w:r>
        <w:rPr>
          <w:rFonts w:hint="eastAsia" w:ascii="仿宋" w:hAnsi="仿宋" w:eastAsia="仿宋"/>
          <w:b/>
          <w:sz w:val="32"/>
        </w:rPr>
        <w:t>7.一般公共服务（类）财政事务（款）预算改革业务（项）：</w:t>
      </w:r>
      <w:r>
        <w:rPr>
          <w:rFonts w:hint="eastAsia" w:ascii="仿宋" w:hAnsi="仿宋" w:eastAsia="仿宋"/>
          <w:sz w:val="32"/>
        </w:rPr>
        <w:t>反映财政部门用于预算改革方面的支出。</w:t>
      </w:r>
    </w:p>
    <w:p>
      <w:pPr>
        <w:ind w:firstLine="642" w:firstLineChars="200"/>
        <w:rPr>
          <w:rFonts w:ascii="仿宋" w:hAnsi="仿宋" w:eastAsia="仿宋"/>
          <w:b/>
          <w:sz w:val="32"/>
        </w:rPr>
      </w:pPr>
      <w:r>
        <w:rPr>
          <w:rFonts w:hint="eastAsia" w:ascii="仿宋" w:hAnsi="仿宋" w:eastAsia="仿宋"/>
          <w:b/>
          <w:sz w:val="32"/>
        </w:rPr>
        <w:t>8.一般公共服务（类）财政事务（款）财政国库业务（项）：</w:t>
      </w:r>
      <w:r>
        <w:rPr>
          <w:rFonts w:hint="eastAsia" w:ascii="仿宋" w:hAnsi="仿宋" w:eastAsia="仿宋"/>
          <w:sz w:val="32"/>
        </w:rPr>
        <w:t>反映财政部门用于财政国库集中收付业务方面的支出。</w:t>
      </w:r>
    </w:p>
    <w:p>
      <w:pPr>
        <w:ind w:firstLine="642" w:firstLineChars="200"/>
        <w:rPr>
          <w:rFonts w:ascii="仿宋" w:hAnsi="仿宋" w:eastAsia="仿宋"/>
          <w:b/>
          <w:sz w:val="32"/>
        </w:rPr>
      </w:pPr>
      <w:r>
        <w:rPr>
          <w:rFonts w:hint="eastAsia" w:ascii="仿宋" w:hAnsi="仿宋" w:eastAsia="仿宋"/>
          <w:b/>
          <w:sz w:val="32"/>
        </w:rPr>
        <w:t>9.一般公共服务（类）财政事务（款）事业运行（项）：</w:t>
      </w:r>
      <w:r>
        <w:rPr>
          <w:rFonts w:hint="eastAsia" w:ascii="仿宋" w:hAnsi="仿宋" w:eastAsia="仿宋"/>
          <w:sz w:val="32"/>
        </w:rPr>
        <w:t>反映事业单位的基本支出，不包括行政单位（包括实行公务员管理的事业单位）后勤服务中心、医务室等附属事业单位。</w:t>
      </w:r>
    </w:p>
    <w:p>
      <w:pPr>
        <w:ind w:firstLine="642" w:firstLineChars="200"/>
        <w:rPr>
          <w:rFonts w:ascii="仿宋" w:hAnsi="仿宋" w:eastAsia="仿宋"/>
          <w:sz w:val="32"/>
        </w:rPr>
      </w:pPr>
      <w:r>
        <w:rPr>
          <w:rFonts w:hint="eastAsia" w:ascii="仿宋" w:hAnsi="仿宋" w:eastAsia="仿宋"/>
          <w:b/>
          <w:sz w:val="32"/>
        </w:rPr>
        <w:t>10.一般公共服务（类）财政事务（款）其他财政事务支出（项）：</w:t>
      </w:r>
      <w:r>
        <w:rPr>
          <w:rFonts w:hint="eastAsia" w:ascii="仿宋" w:hAnsi="仿宋" w:eastAsia="仿宋"/>
          <w:sz w:val="32"/>
        </w:rPr>
        <w:t>反映除上述项目以外其他财政事务方面的支出。</w:t>
      </w:r>
    </w:p>
    <w:p>
      <w:pPr>
        <w:ind w:firstLine="642" w:firstLineChars="200"/>
        <w:rPr>
          <w:rFonts w:ascii="仿宋" w:hAnsi="仿宋" w:eastAsia="仿宋"/>
          <w:b/>
          <w:sz w:val="32"/>
        </w:rPr>
      </w:pPr>
      <w:r>
        <w:rPr>
          <w:rFonts w:hint="eastAsia" w:ascii="仿宋" w:hAnsi="仿宋" w:eastAsia="仿宋"/>
          <w:b/>
          <w:sz w:val="32"/>
        </w:rPr>
        <w:t>11.社会保障和就业（类）行政事业单位离退休（款）归口管理的行政单位离退休（项）：</w:t>
      </w:r>
      <w:r>
        <w:rPr>
          <w:rFonts w:hint="eastAsia" w:ascii="仿宋" w:hAnsi="仿宋" w:eastAsia="仿宋"/>
          <w:sz w:val="32"/>
        </w:rPr>
        <w:t>反映实行归口管理的行政单位（包括实行公务员管理的事业单位）开支的离退休经费。</w:t>
      </w:r>
    </w:p>
    <w:p>
      <w:pPr>
        <w:ind w:firstLine="642" w:firstLineChars="200"/>
        <w:rPr>
          <w:rFonts w:ascii="仿宋" w:hAnsi="仿宋" w:eastAsia="仿宋"/>
          <w:b/>
          <w:sz w:val="32"/>
        </w:rPr>
      </w:pPr>
      <w:r>
        <w:rPr>
          <w:rFonts w:hint="eastAsia" w:ascii="仿宋" w:hAnsi="仿宋" w:eastAsia="仿宋"/>
          <w:b/>
          <w:sz w:val="32"/>
        </w:rPr>
        <w:t>12.社会保障和就业（类）行政事业单位离退休（款）事业单位离退休（项）：</w:t>
      </w:r>
      <w:r>
        <w:rPr>
          <w:rFonts w:hint="eastAsia" w:ascii="仿宋" w:hAnsi="仿宋" w:eastAsia="仿宋"/>
          <w:sz w:val="32"/>
        </w:rPr>
        <w:t>反映实行归口管理的事业单位开支的离退休经费。</w:t>
      </w:r>
    </w:p>
    <w:p>
      <w:pPr>
        <w:ind w:firstLine="642" w:firstLineChars="200"/>
        <w:rPr>
          <w:rFonts w:ascii="仿宋" w:hAnsi="仿宋" w:eastAsia="仿宋"/>
          <w:sz w:val="32"/>
        </w:rPr>
      </w:pPr>
      <w:r>
        <w:rPr>
          <w:rFonts w:hint="eastAsia" w:ascii="仿宋" w:hAnsi="仿宋" w:eastAsia="仿宋"/>
          <w:b/>
          <w:sz w:val="32"/>
        </w:rPr>
        <w:t>13.医疗卫生与计划生育（类）医疗保障（款）行政单位医疗（项）：</w:t>
      </w:r>
      <w:r>
        <w:rPr>
          <w:rFonts w:hint="eastAsia" w:ascii="仿宋" w:hAnsi="仿宋" w:eastAsia="仿宋"/>
          <w:sz w:val="32"/>
        </w:rPr>
        <w:t>反映财政部门集中安排的行政单位基本医疗保险缴费经费，未参加医疗保险的行政单位的公费医疗经费，按国家规定享受离休人员、红军老战士待遇人员的医疗经费。</w:t>
      </w:r>
    </w:p>
    <w:p>
      <w:pPr>
        <w:ind w:firstLine="642" w:firstLineChars="200"/>
        <w:rPr>
          <w:rFonts w:ascii="仿宋" w:hAnsi="仿宋" w:eastAsia="仿宋"/>
          <w:sz w:val="32"/>
        </w:rPr>
      </w:pPr>
      <w:r>
        <w:rPr>
          <w:rFonts w:hint="eastAsia" w:ascii="仿宋" w:hAnsi="仿宋" w:eastAsia="仿宋"/>
          <w:b/>
          <w:sz w:val="32"/>
        </w:rPr>
        <w:t>14.医疗卫生与计划生育（类）医疗保障（款）事业单位医疗（项）：</w:t>
      </w:r>
      <w:r>
        <w:rPr>
          <w:rFonts w:hint="eastAsia" w:ascii="仿宋" w:hAnsi="仿宋" w:eastAsia="仿宋"/>
          <w:sz w:val="32"/>
        </w:rPr>
        <w:t>反映财政部门集中安排的事业单位基本医疗保险缴费经费，未参加医疗保险的事业单位的公费医疗经费，按国家规定享受离休人员待遇人员的医疗经费。</w:t>
      </w:r>
    </w:p>
    <w:p>
      <w:pPr>
        <w:ind w:firstLine="642" w:firstLineChars="200"/>
        <w:rPr>
          <w:rFonts w:ascii="仿宋" w:hAnsi="仿宋" w:eastAsia="仿宋"/>
          <w:b/>
          <w:sz w:val="32"/>
        </w:rPr>
      </w:pPr>
      <w:r>
        <w:rPr>
          <w:rFonts w:hint="eastAsia" w:ascii="仿宋" w:hAnsi="仿宋" w:eastAsia="仿宋"/>
          <w:b/>
          <w:sz w:val="32"/>
        </w:rPr>
        <w:t>15.住房保障（类）住房改革（款）住房公积金（项）：</w:t>
      </w:r>
      <w:r>
        <w:rPr>
          <w:rFonts w:hint="eastAsia" w:ascii="仿宋" w:hAnsi="仿宋" w:eastAsia="仿宋"/>
          <w:sz w:val="32"/>
        </w:rPr>
        <w:t>反映行政事业单位按人力资源和社会保障部、财政部规定的基本工资和津贴补贴以及规定比例为职工缴纳的住房公积金。</w:t>
      </w:r>
    </w:p>
    <w:p>
      <w:pPr>
        <w:ind w:firstLine="642" w:firstLineChars="200"/>
        <w:rPr>
          <w:rFonts w:ascii="仿宋" w:hAnsi="仿宋" w:eastAsia="仿宋"/>
          <w:b/>
          <w:sz w:val="32"/>
        </w:rPr>
      </w:pPr>
      <w:r>
        <w:rPr>
          <w:rFonts w:hint="eastAsia" w:ascii="仿宋" w:hAnsi="仿宋" w:eastAsia="仿宋"/>
          <w:b/>
          <w:sz w:val="32"/>
        </w:rPr>
        <w:t>16.基本支出：</w:t>
      </w:r>
      <w:r>
        <w:rPr>
          <w:rFonts w:hint="eastAsia" w:ascii="仿宋" w:hAnsi="仿宋" w:eastAsia="仿宋"/>
          <w:sz w:val="32"/>
        </w:rPr>
        <w:t>指保障机构正常运转、完成日常工作任务而发生的人员支出和公用支出。</w:t>
      </w:r>
    </w:p>
    <w:p>
      <w:pPr>
        <w:ind w:firstLine="642" w:firstLineChars="200"/>
        <w:rPr>
          <w:rFonts w:ascii="仿宋" w:hAnsi="仿宋" w:eastAsia="仿宋"/>
          <w:sz w:val="32"/>
        </w:rPr>
      </w:pPr>
      <w:r>
        <w:rPr>
          <w:rFonts w:hint="eastAsia" w:ascii="仿宋" w:hAnsi="仿宋" w:eastAsia="仿宋"/>
          <w:b/>
          <w:sz w:val="32"/>
        </w:rPr>
        <w:t>17.项目支出：</w:t>
      </w:r>
      <w:r>
        <w:rPr>
          <w:rFonts w:hint="eastAsia" w:ascii="仿宋" w:hAnsi="仿宋" w:eastAsia="仿宋"/>
          <w:sz w:val="32"/>
        </w:rPr>
        <w:t>指在基本支出之外为完成特定行政任务和事业发展目标所发生的支出。</w:t>
      </w:r>
    </w:p>
    <w:p>
      <w:pPr>
        <w:ind w:firstLine="642" w:firstLineChars="200"/>
        <w:rPr>
          <w:rFonts w:ascii="仿宋" w:hAnsi="仿宋" w:eastAsia="仿宋"/>
          <w:sz w:val="32"/>
        </w:rPr>
      </w:pPr>
      <w:r>
        <w:rPr>
          <w:rFonts w:hint="eastAsia" w:ascii="仿宋" w:hAnsi="仿宋" w:eastAsia="仿宋"/>
          <w:b/>
          <w:sz w:val="32"/>
        </w:rPr>
        <w:t>18.“三公”经费：</w:t>
      </w:r>
      <w:r>
        <w:rPr>
          <w:rFonts w:hint="eastAsia" w:ascii="仿宋" w:hAnsi="仿宋" w:eastAsia="仿宋"/>
          <w:sz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2" w:firstLineChars="200"/>
        <w:rPr>
          <w:rFonts w:ascii="仿宋" w:hAnsi="仿宋" w:eastAsia="仿宋"/>
          <w:b/>
          <w:sz w:val="32"/>
        </w:rPr>
      </w:pPr>
      <w:r>
        <w:rPr>
          <w:rFonts w:hint="eastAsia" w:ascii="仿宋" w:hAnsi="仿宋" w:eastAsia="仿宋"/>
          <w:b/>
          <w:sz w:val="32"/>
        </w:rPr>
        <w:t>19.机关运行经费：</w:t>
      </w:r>
      <w:r>
        <w:rPr>
          <w:rFonts w:hint="eastAsia" w:ascii="仿宋" w:hAnsi="仿宋" w:eastAsia="仿宋"/>
          <w:sz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adjustRightInd/>
        <w:spacing w:after="0" w:line="560" w:lineRule="exact"/>
        <w:rPr>
          <w:rFonts w:ascii="仿宋_GB2312" w:hAnsi="宋体" w:eastAsia="仿宋_GB2312" w:cs="宋体"/>
          <w:sz w:val="32"/>
          <w:szCs w:val="32"/>
        </w:rPr>
      </w:pPr>
    </w:p>
    <w:p>
      <w:pPr>
        <w:adjustRightInd/>
        <w:spacing w:after="0" w:line="560" w:lineRule="exact"/>
        <w:jc w:val="right"/>
        <w:rPr>
          <w:rFonts w:ascii="仿宋" w:hAnsi="仿宋" w:eastAsia="仿宋"/>
          <w:sz w:val="32"/>
          <w:szCs w:val="32"/>
        </w:rPr>
      </w:pPr>
    </w:p>
    <w:p>
      <w:pPr>
        <w:adjustRightInd/>
        <w:spacing w:after="0" w:line="560" w:lineRule="exact"/>
        <w:jc w:val="right"/>
        <w:rPr>
          <w:rFonts w:ascii="仿宋" w:hAnsi="仿宋" w:eastAsia="仿宋"/>
          <w:sz w:val="32"/>
          <w:szCs w:val="32"/>
        </w:rPr>
      </w:pPr>
      <w:r>
        <w:rPr>
          <w:rFonts w:hint="eastAsia" w:ascii="仿宋" w:hAnsi="仿宋" w:eastAsia="仿宋"/>
          <w:sz w:val="32"/>
          <w:szCs w:val="32"/>
        </w:rPr>
        <w:t>中国共产党沈阳市康平县纪律检查委员会</w:t>
      </w:r>
    </w:p>
    <w:p>
      <w:pPr>
        <w:adjustRightInd/>
        <w:spacing w:after="0" w:line="560" w:lineRule="exact"/>
        <w:rPr>
          <w:rFonts w:ascii="仿宋" w:hAnsi="仿宋" w:eastAsia="仿宋"/>
          <w:sz w:val="32"/>
          <w:szCs w:val="32"/>
        </w:rPr>
      </w:pPr>
      <w:r>
        <w:rPr>
          <w:rFonts w:hint="eastAsia" w:ascii="仿宋" w:hAnsi="仿宋" w:eastAsia="仿宋"/>
          <w:sz w:val="32"/>
          <w:szCs w:val="32"/>
        </w:rPr>
        <w:t xml:space="preserve">                             2018年6月19日</w:t>
      </w:r>
    </w:p>
    <w:sectPr>
      <w:headerReference r:id="rId4" w:type="default"/>
      <w:footerReference r:id="rId5" w:type="default"/>
      <w:pgSz w:w="11906" w:h="16838"/>
      <w:pgMar w:top="1440" w:right="174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Tahoma">
    <w:altName w:val="DejaVu Sans"/>
    <w:panose1 w:val="020B0604030504040204"/>
    <w:charset w:val="00"/>
    <w:family w:val="swiss"/>
    <w:pitch w:val="default"/>
    <w:sig w:usb0="00000000" w:usb1="00000000" w:usb2="00000008" w:usb3="00000000" w:csb0="000101FF" w:csb1="00000000"/>
  </w:font>
  <w:font w:name="微软雅黑">
    <w:altName w:val="方正黑体_GBK"/>
    <w:panose1 w:val="00000000000000000000"/>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0000000000000000000"/>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604674"/>
    </w:sdtPr>
    <w:sdtContent>
      <w:p>
        <w:pPr>
          <w:pStyle w:val="3"/>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435B78"/>
    <w:multiLevelType w:val="multilevel"/>
    <w:tmpl w:val="24435B78"/>
    <w:lvl w:ilvl="0" w:tentative="0">
      <w:start w:val="8"/>
      <w:numFmt w:val="japaneseCounting"/>
      <w:lvlText w:val="%1、"/>
      <w:lvlJc w:val="left"/>
      <w:pPr>
        <w:ind w:left="1680" w:hanging="720"/>
      </w:pPr>
      <w:rPr>
        <w:rFonts w:hint="default"/>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720"/>
  <w:noPunctuationKerning w:val="1"/>
  <w:characterSpacingControl w:val="doNotCompress"/>
  <w:footnotePr>
    <w:footnote w:id="0"/>
    <w:footnote w:id="1"/>
  </w:footnotePr>
  <w:compat>
    <w:doNotExpandShiftReturn/>
    <w:doNotWrapTextWithPunct/>
    <w:doNotUseEastAsianBreakRules/>
    <w:useFELayout/>
    <w:doNotUseIndentAsNumberingTabStop/>
    <w:useAltKinsokuLineBreakRules/>
    <w:compatSetting w:name="compatibilityMode" w:uri="http://schemas.microsoft.com/office/word" w:val="12"/>
  </w:compat>
  <w:rsids>
    <w:rsidRoot w:val="00D31D50"/>
    <w:rsid w:val="001215B2"/>
    <w:rsid w:val="001340B7"/>
    <w:rsid w:val="001A49C1"/>
    <w:rsid w:val="001D35B4"/>
    <w:rsid w:val="001E3D19"/>
    <w:rsid w:val="0020787D"/>
    <w:rsid w:val="00231E23"/>
    <w:rsid w:val="00315E40"/>
    <w:rsid w:val="00323B43"/>
    <w:rsid w:val="00342251"/>
    <w:rsid w:val="0038196D"/>
    <w:rsid w:val="003D37D8"/>
    <w:rsid w:val="00426133"/>
    <w:rsid w:val="004358AB"/>
    <w:rsid w:val="00463126"/>
    <w:rsid w:val="004C3F3D"/>
    <w:rsid w:val="004C6D11"/>
    <w:rsid w:val="004D1C20"/>
    <w:rsid w:val="004D43CD"/>
    <w:rsid w:val="00661890"/>
    <w:rsid w:val="00695AFF"/>
    <w:rsid w:val="007A0823"/>
    <w:rsid w:val="007A6255"/>
    <w:rsid w:val="007F44DD"/>
    <w:rsid w:val="00823973"/>
    <w:rsid w:val="008B7726"/>
    <w:rsid w:val="009367E2"/>
    <w:rsid w:val="00945042"/>
    <w:rsid w:val="009821EF"/>
    <w:rsid w:val="00996A98"/>
    <w:rsid w:val="00B17AB9"/>
    <w:rsid w:val="00C159DA"/>
    <w:rsid w:val="00C62071"/>
    <w:rsid w:val="00D31D50"/>
    <w:rsid w:val="00D86007"/>
    <w:rsid w:val="00DB0257"/>
    <w:rsid w:val="00DD1CA5"/>
    <w:rsid w:val="00EB533E"/>
    <w:rsid w:val="00F07681"/>
    <w:rsid w:val="00F3631E"/>
    <w:rsid w:val="00F37A1B"/>
    <w:rsid w:val="00FA0D1A"/>
    <w:rsid w:val="00FC3B4D"/>
    <w:rsid w:val="00FF7D5E"/>
    <w:rsid w:val="071927E2"/>
    <w:rsid w:val="091111D9"/>
    <w:rsid w:val="1697409F"/>
    <w:rsid w:val="1B2263E5"/>
    <w:rsid w:val="20B61224"/>
    <w:rsid w:val="227615CD"/>
    <w:rsid w:val="28F2345A"/>
    <w:rsid w:val="2EE14A07"/>
    <w:rsid w:val="38A80A61"/>
    <w:rsid w:val="3DF721DC"/>
    <w:rsid w:val="42EE3343"/>
    <w:rsid w:val="4DA4055C"/>
    <w:rsid w:val="617D0CAF"/>
    <w:rsid w:val="67AA3AEF"/>
    <w:rsid w:val="B7FF3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pPr>
      <w:spacing w:after="0"/>
    </w:pPr>
    <w:rPr>
      <w:sz w:val="18"/>
      <w:szCs w:val="18"/>
    </w:rPr>
  </w:style>
  <w:style w:type="paragraph" w:styleId="3">
    <w:name w:val="footer"/>
    <w:basedOn w:val="1"/>
    <w:link w:val="10"/>
    <w:unhideWhenUsed/>
    <w:qFormat/>
    <w:uiPriority w:val="99"/>
    <w:pPr>
      <w:tabs>
        <w:tab w:val="center" w:pos="4153"/>
        <w:tab w:val="right" w:pos="8306"/>
      </w:tabs>
    </w:pPr>
    <w:rPr>
      <w:sz w:val="18"/>
      <w:szCs w:val="18"/>
    </w:rPr>
  </w:style>
  <w:style w:type="paragraph" w:styleId="4">
    <w:name w:val="header"/>
    <w:basedOn w:val="1"/>
    <w:link w:val="9"/>
    <w:unhideWhenUsed/>
    <w:qFormat/>
    <w:uiPriority w:val="0"/>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adjustRightInd/>
      <w:snapToGrid/>
      <w:spacing w:before="100" w:beforeAutospacing="1" w:after="100" w:afterAutospacing="1"/>
    </w:pPr>
    <w:rPr>
      <w:rFonts w:ascii="宋体" w:hAnsi="宋体" w:eastAsia="宋体" w:cs="宋体"/>
      <w:sz w:val="24"/>
      <w:szCs w:val="24"/>
    </w:rPr>
  </w:style>
  <w:style w:type="character" w:styleId="8">
    <w:name w:val="Hyperlink"/>
    <w:basedOn w:val="7"/>
    <w:unhideWhenUsed/>
    <w:qFormat/>
    <w:uiPriority w:val="99"/>
    <w:rPr>
      <w:color w:val="0000FF"/>
      <w:u w:val="single"/>
    </w:rPr>
  </w:style>
  <w:style w:type="character" w:customStyle="1" w:styleId="9">
    <w:name w:val="页眉 Char"/>
    <w:basedOn w:val="7"/>
    <w:link w:val="4"/>
    <w:semiHidden/>
    <w:qFormat/>
    <w:uiPriority w:val="99"/>
    <w:rPr>
      <w:rFonts w:ascii="Tahoma" w:hAnsi="Tahoma"/>
      <w:sz w:val="18"/>
      <w:szCs w:val="18"/>
    </w:rPr>
  </w:style>
  <w:style w:type="character" w:customStyle="1" w:styleId="10">
    <w:name w:val="页脚 Char"/>
    <w:basedOn w:val="7"/>
    <w:link w:val="3"/>
    <w:qFormat/>
    <w:uiPriority w:val="99"/>
    <w:rPr>
      <w:rFonts w:ascii="Tahoma" w:hAnsi="Tahoma"/>
      <w:sz w:val="18"/>
      <w:szCs w:val="18"/>
    </w:rPr>
  </w:style>
  <w:style w:type="paragraph" w:customStyle="1" w:styleId="11">
    <w:name w:val="列出段落1"/>
    <w:basedOn w:val="1"/>
    <w:qFormat/>
    <w:uiPriority w:val="34"/>
    <w:pPr>
      <w:ind w:firstLine="420" w:firstLineChars="200"/>
    </w:pPr>
  </w:style>
  <w:style w:type="character" w:customStyle="1" w:styleId="12">
    <w:name w:val="批注框文本 Char"/>
    <w:basedOn w:val="7"/>
    <w:link w:val="2"/>
    <w:semiHidden/>
    <w:qFormat/>
    <w:uiPriority w:val="99"/>
    <w:rPr>
      <w:rFonts w:ascii="Tahoma" w:hAnsi="Tahoma" w:eastAsia="微软雅黑" w:cstheme="minorBidi"/>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350</Words>
  <Characters>2001</Characters>
  <Lines>16</Lines>
  <Paragraphs>4</Paragraphs>
  <TotalTime>4</TotalTime>
  <ScaleCrop>false</ScaleCrop>
  <LinksUpToDate>false</LinksUpToDate>
  <CharactersWithSpaces>2347</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2008-09-12T01:20:00Z</dcterms:created>
  <dc:creator>Administrator</dc:creator>
  <cp:lastModifiedBy>user</cp:lastModifiedBy>
  <dcterms:modified xsi:type="dcterms:W3CDTF">2025-09-17T14:01:44Z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95F0B65CF85CA5BEC84ECA68BBBB71DA</vt:lpwstr>
  </property>
</Properties>
</file>