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r>
        <w:rPr>
          <w:rFonts w:hint="eastAsia"/>
          <w:b/>
          <w:sz w:val="44"/>
          <w:szCs w:val="44"/>
        </w:rPr>
        <w:t>康平县</w:t>
      </w:r>
      <w:r>
        <w:rPr>
          <w:rFonts w:hint="eastAsia"/>
          <w:b/>
          <w:sz w:val="44"/>
          <w:szCs w:val="44"/>
          <w:lang w:val="en-US" w:eastAsia="zh-CN"/>
        </w:rPr>
        <w:t>人民政府办公室</w:t>
      </w:r>
      <w:r>
        <w:rPr>
          <w:rFonts w:hint="eastAsia"/>
          <w:b/>
          <w:sz w:val="44"/>
          <w:szCs w:val="44"/>
        </w:rPr>
        <w:t>2022年单位预算</w:t>
      </w: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center"/>
        <w:rPr>
          <w:rFonts w:hint="eastAsia"/>
          <w:b/>
          <w:sz w:val="44"/>
          <w:szCs w:val="44"/>
        </w:rPr>
      </w:pPr>
    </w:p>
    <w:p>
      <w:pPr>
        <w:jc w:val="left"/>
        <w:rPr>
          <w:rFonts w:hint="eastAsia"/>
          <w:b/>
          <w:sz w:val="44"/>
          <w:szCs w:val="44"/>
        </w:rPr>
      </w:pPr>
      <w:r>
        <w:rPr>
          <w:rFonts w:hint="eastAsia"/>
          <w:b/>
          <w:sz w:val="44"/>
          <w:szCs w:val="44"/>
        </w:rPr>
        <w:t>目录</w:t>
      </w:r>
    </w:p>
    <w:p>
      <w:pPr>
        <w:rPr>
          <w:rFonts w:asciiTheme="minorEastAsia" w:hAnsiTheme="minorEastAsia" w:eastAsiaTheme="minorEastAsia"/>
          <w:sz w:val="32"/>
          <w:szCs w:val="32"/>
        </w:rPr>
      </w:pPr>
      <w:r>
        <w:rPr>
          <w:rFonts w:hint="eastAsia"/>
          <w:b/>
          <w:sz w:val="32"/>
          <w:szCs w:val="32"/>
        </w:rPr>
        <w:t>第一部分　　</w:t>
      </w:r>
      <w:r>
        <w:rPr>
          <w:rFonts w:hint="eastAsia" w:asciiTheme="minorEastAsia" w:hAnsiTheme="minorEastAsia" w:eastAsiaTheme="minorEastAsia"/>
          <w:sz w:val="32"/>
          <w:szCs w:val="32"/>
        </w:rPr>
        <w:t>部门主要职责及机构设置情况</w:t>
      </w:r>
    </w:p>
    <w:p>
      <w:pPr>
        <w:rPr>
          <w:rFonts w:hint="eastAsia"/>
          <w:sz w:val="32"/>
          <w:szCs w:val="32"/>
        </w:rPr>
      </w:pPr>
      <w:r>
        <w:rPr>
          <w:rFonts w:hint="eastAsia"/>
          <w:b/>
          <w:sz w:val="32"/>
          <w:szCs w:val="32"/>
        </w:rPr>
        <w:t>第二部分　　</w:t>
      </w:r>
      <w:r>
        <w:rPr>
          <w:rFonts w:hint="eastAsia" w:asciiTheme="minorEastAsia" w:hAnsiTheme="minorEastAsia" w:eastAsiaTheme="minorEastAsia"/>
          <w:sz w:val="32"/>
          <w:szCs w:val="32"/>
        </w:rPr>
        <w:t>康平县</w:t>
      </w:r>
      <w:r>
        <w:rPr>
          <w:rFonts w:hint="eastAsia" w:asciiTheme="minorEastAsia" w:hAnsiTheme="minorEastAsia" w:eastAsiaTheme="minorEastAsia"/>
          <w:sz w:val="32"/>
          <w:szCs w:val="32"/>
          <w:lang w:val="en-US" w:eastAsia="zh-CN"/>
        </w:rPr>
        <w:t>人民政府</w:t>
      </w:r>
      <w:r>
        <w:rPr>
          <w:rFonts w:hint="eastAsia" w:asciiTheme="minorEastAsia" w:hAnsiTheme="minorEastAsia" w:eastAsiaTheme="minorEastAsia"/>
          <w:sz w:val="32"/>
          <w:szCs w:val="32"/>
        </w:rPr>
        <w:t>办公室2022年单位预算</w:t>
      </w:r>
    </w:p>
    <w:p>
      <w:pPr>
        <w:jc w:val="left"/>
        <w:rPr>
          <w:rFonts w:hint="eastAsia"/>
          <w:sz w:val="32"/>
          <w:szCs w:val="32"/>
        </w:rPr>
      </w:pPr>
      <w:r>
        <w:rPr>
          <w:rFonts w:hint="eastAsia"/>
          <w:sz w:val="32"/>
          <w:szCs w:val="32"/>
        </w:rPr>
        <w:t>公开表</w:t>
      </w:r>
    </w:p>
    <w:p>
      <w:pPr>
        <w:jc w:val="left"/>
        <w:rPr>
          <w:rFonts w:hint="eastAsia" w:ascii="仿宋_GB2312" w:eastAsia="仿宋_GB2312"/>
          <w:b/>
          <w:sz w:val="32"/>
          <w:szCs w:val="32"/>
        </w:rPr>
      </w:pPr>
      <w:r>
        <w:rPr>
          <w:rFonts w:hint="eastAsia" w:ascii="仿宋_GB2312" w:eastAsia="仿宋_GB2312"/>
          <w:b/>
          <w:sz w:val="32"/>
          <w:szCs w:val="32"/>
        </w:rPr>
        <w:t>表１.收支预算总表</w:t>
      </w:r>
    </w:p>
    <w:p>
      <w:pPr>
        <w:jc w:val="left"/>
        <w:rPr>
          <w:rFonts w:hint="eastAsia" w:ascii="仿宋_GB2312" w:eastAsia="仿宋_GB2312"/>
          <w:b/>
          <w:sz w:val="32"/>
          <w:szCs w:val="32"/>
        </w:rPr>
      </w:pPr>
      <w:r>
        <w:rPr>
          <w:rFonts w:hint="eastAsia" w:ascii="仿宋_GB2312" w:eastAsia="仿宋_GB2312"/>
          <w:b/>
          <w:sz w:val="32"/>
          <w:szCs w:val="32"/>
        </w:rPr>
        <w:t>表２.收入预算总表</w:t>
      </w:r>
    </w:p>
    <w:p>
      <w:pPr>
        <w:jc w:val="left"/>
        <w:rPr>
          <w:rFonts w:hint="eastAsia" w:ascii="仿宋_GB2312" w:eastAsia="仿宋_GB2312"/>
          <w:b/>
          <w:sz w:val="32"/>
          <w:szCs w:val="32"/>
        </w:rPr>
      </w:pPr>
      <w:r>
        <w:rPr>
          <w:rFonts w:hint="eastAsia" w:ascii="仿宋_GB2312" w:eastAsia="仿宋_GB2312"/>
          <w:b/>
          <w:sz w:val="32"/>
          <w:szCs w:val="32"/>
        </w:rPr>
        <w:t>表３.支出预算总表</w:t>
      </w:r>
    </w:p>
    <w:p>
      <w:pPr>
        <w:jc w:val="left"/>
        <w:rPr>
          <w:rFonts w:hint="eastAsia" w:ascii="仿宋_GB2312" w:eastAsia="仿宋_GB2312"/>
          <w:b/>
          <w:sz w:val="32"/>
          <w:szCs w:val="32"/>
        </w:rPr>
      </w:pPr>
      <w:r>
        <w:rPr>
          <w:rFonts w:hint="eastAsia" w:ascii="仿宋_GB2312" w:eastAsia="仿宋_GB2312"/>
          <w:b/>
          <w:sz w:val="32"/>
          <w:szCs w:val="32"/>
        </w:rPr>
        <w:t>表４.财政拨款收支预算总表</w:t>
      </w:r>
    </w:p>
    <w:p>
      <w:pPr>
        <w:jc w:val="left"/>
        <w:rPr>
          <w:rFonts w:hint="eastAsia" w:ascii="仿宋_GB2312" w:eastAsia="仿宋_GB2312"/>
          <w:b/>
          <w:sz w:val="32"/>
          <w:szCs w:val="32"/>
        </w:rPr>
      </w:pPr>
      <w:r>
        <w:rPr>
          <w:rFonts w:hint="eastAsia" w:ascii="仿宋_GB2312" w:eastAsia="仿宋_GB2312"/>
          <w:b/>
          <w:sz w:val="32"/>
          <w:szCs w:val="32"/>
        </w:rPr>
        <w:t>表５.一般公共预算支出表</w:t>
      </w:r>
    </w:p>
    <w:p>
      <w:pPr>
        <w:jc w:val="left"/>
        <w:rPr>
          <w:rFonts w:hint="eastAsia" w:ascii="仿宋_GB2312" w:eastAsia="仿宋_GB2312"/>
          <w:b/>
          <w:sz w:val="32"/>
          <w:szCs w:val="32"/>
        </w:rPr>
      </w:pPr>
      <w:r>
        <w:rPr>
          <w:rFonts w:hint="eastAsia" w:ascii="仿宋_GB2312" w:eastAsia="仿宋_GB2312"/>
          <w:b/>
          <w:sz w:val="32"/>
          <w:szCs w:val="32"/>
        </w:rPr>
        <w:t>表６.一般公共预算基本支出表</w:t>
      </w:r>
    </w:p>
    <w:p>
      <w:pPr>
        <w:jc w:val="left"/>
        <w:rPr>
          <w:rFonts w:hint="eastAsia" w:ascii="仿宋_GB2312" w:eastAsia="仿宋_GB2312"/>
          <w:b/>
          <w:sz w:val="32"/>
          <w:szCs w:val="32"/>
        </w:rPr>
      </w:pPr>
      <w:r>
        <w:rPr>
          <w:rFonts w:hint="eastAsia" w:ascii="仿宋_GB2312" w:eastAsia="仿宋_GB2312"/>
          <w:b/>
          <w:sz w:val="32"/>
          <w:szCs w:val="32"/>
        </w:rPr>
        <w:t>表７.一般公共预算“三公”经费支出表</w:t>
      </w:r>
    </w:p>
    <w:p>
      <w:pPr>
        <w:jc w:val="left"/>
        <w:rPr>
          <w:rFonts w:hint="eastAsia" w:ascii="仿宋_GB2312" w:eastAsia="仿宋_GB2312"/>
          <w:b/>
          <w:sz w:val="32"/>
          <w:szCs w:val="32"/>
        </w:rPr>
      </w:pPr>
      <w:r>
        <w:rPr>
          <w:rFonts w:hint="eastAsia" w:ascii="仿宋_GB2312" w:eastAsia="仿宋_GB2312"/>
          <w:b/>
          <w:sz w:val="32"/>
          <w:szCs w:val="32"/>
        </w:rPr>
        <w:t>表８.政府性基金预算支出表</w:t>
      </w:r>
    </w:p>
    <w:p>
      <w:pPr>
        <w:jc w:val="left"/>
        <w:rPr>
          <w:rFonts w:hint="eastAsia" w:ascii="仿宋_GB2312" w:eastAsia="仿宋_GB2312"/>
          <w:b/>
          <w:sz w:val="32"/>
          <w:szCs w:val="32"/>
        </w:rPr>
      </w:pPr>
      <w:r>
        <w:rPr>
          <w:rFonts w:hint="eastAsia" w:ascii="仿宋_GB2312" w:eastAsia="仿宋_GB2312"/>
          <w:b/>
          <w:sz w:val="32"/>
          <w:szCs w:val="32"/>
        </w:rPr>
        <w:t>表９.项目支出预算表</w:t>
      </w:r>
    </w:p>
    <w:p>
      <w:pPr>
        <w:jc w:val="left"/>
        <w:rPr>
          <w:rFonts w:hint="eastAsia" w:ascii="仿宋_GB2312" w:eastAsia="仿宋_GB2312"/>
          <w:b/>
          <w:sz w:val="32"/>
          <w:szCs w:val="32"/>
        </w:rPr>
      </w:pPr>
      <w:r>
        <w:rPr>
          <w:rFonts w:hint="eastAsia" w:ascii="仿宋_GB2312" w:eastAsia="仿宋_GB2312"/>
          <w:b/>
          <w:sz w:val="32"/>
          <w:szCs w:val="32"/>
        </w:rPr>
        <w:t>表10.支出功能分类预算表</w:t>
      </w:r>
    </w:p>
    <w:p>
      <w:pPr>
        <w:jc w:val="left"/>
        <w:rPr>
          <w:rFonts w:hint="eastAsia" w:ascii="仿宋_GB2312" w:eastAsia="仿宋_GB2312"/>
          <w:b/>
          <w:sz w:val="32"/>
          <w:szCs w:val="32"/>
        </w:rPr>
      </w:pPr>
      <w:r>
        <w:rPr>
          <w:rFonts w:hint="eastAsia" w:ascii="仿宋_GB2312" w:eastAsia="仿宋_GB2312"/>
          <w:b/>
          <w:sz w:val="32"/>
          <w:szCs w:val="32"/>
        </w:rPr>
        <w:t>表11.支出经济分类预算表</w:t>
      </w:r>
    </w:p>
    <w:p>
      <w:pPr>
        <w:jc w:val="left"/>
        <w:rPr>
          <w:rFonts w:hint="eastAsia" w:ascii="仿宋_GB2312" w:eastAsia="仿宋_GB2312"/>
          <w:b/>
          <w:sz w:val="32"/>
          <w:szCs w:val="32"/>
        </w:rPr>
      </w:pPr>
      <w:r>
        <w:rPr>
          <w:rFonts w:hint="eastAsia" w:ascii="仿宋_GB2312" w:eastAsia="仿宋_GB2312"/>
          <w:b/>
          <w:sz w:val="32"/>
          <w:szCs w:val="32"/>
        </w:rPr>
        <w:t>表12.支出经济分类预算表</w:t>
      </w:r>
    </w:p>
    <w:p>
      <w:pPr>
        <w:jc w:val="left"/>
        <w:rPr>
          <w:rFonts w:hint="eastAsia" w:ascii="仿宋_GB2312" w:eastAsia="仿宋_GB2312"/>
          <w:b/>
          <w:sz w:val="32"/>
          <w:szCs w:val="32"/>
        </w:rPr>
      </w:pPr>
      <w:r>
        <w:rPr>
          <w:rFonts w:hint="eastAsia" w:ascii="仿宋_GB2312" w:eastAsia="仿宋_GB2312"/>
          <w:b/>
          <w:sz w:val="32"/>
          <w:szCs w:val="32"/>
        </w:rPr>
        <w:t>表13.债务支出预算表</w:t>
      </w:r>
    </w:p>
    <w:p>
      <w:pPr>
        <w:jc w:val="left"/>
        <w:rPr>
          <w:rFonts w:hint="eastAsia" w:ascii="仿宋_GB2312" w:eastAsia="仿宋_GB2312"/>
          <w:b/>
          <w:sz w:val="32"/>
          <w:szCs w:val="32"/>
        </w:rPr>
      </w:pPr>
      <w:r>
        <w:rPr>
          <w:rFonts w:hint="eastAsia" w:ascii="仿宋_GB2312" w:eastAsia="仿宋_GB2312"/>
          <w:b/>
          <w:sz w:val="32"/>
          <w:szCs w:val="32"/>
        </w:rPr>
        <w:t>表14.政府采购支出预算表</w:t>
      </w:r>
    </w:p>
    <w:p>
      <w:pPr>
        <w:jc w:val="left"/>
        <w:rPr>
          <w:rFonts w:hint="eastAsia" w:ascii="仿宋_GB2312" w:eastAsia="仿宋_GB2312"/>
          <w:b/>
          <w:sz w:val="32"/>
          <w:szCs w:val="32"/>
        </w:rPr>
      </w:pPr>
      <w:r>
        <w:rPr>
          <w:rFonts w:hint="eastAsia" w:ascii="仿宋_GB2312" w:eastAsia="仿宋_GB2312"/>
          <w:b/>
          <w:sz w:val="32"/>
          <w:szCs w:val="32"/>
        </w:rPr>
        <w:t>表15.政府购买服务支出预算表</w:t>
      </w:r>
    </w:p>
    <w:p>
      <w:pPr>
        <w:jc w:val="left"/>
        <w:rPr>
          <w:rFonts w:hint="eastAsia" w:ascii="仿宋_GB2312" w:eastAsia="仿宋_GB2312"/>
          <w:b/>
          <w:sz w:val="32"/>
          <w:szCs w:val="32"/>
        </w:rPr>
      </w:pPr>
      <w:r>
        <w:rPr>
          <w:rFonts w:hint="eastAsia" w:ascii="仿宋_GB2312" w:eastAsia="仿宋_GB2312"/>
          <w:b/>
          <w:sz w:val="32"/>
          <w:szCs w:val="32"/>
        </w:rPr>
        <w:t>表16.部门（单位）整体绩效目标表</w:t>
      </w:r>
    </w:p>
    <w:p>
      <w:pPr>
        <w:jc w:val="left"/>
        <w:rPr>
          <w:rFonts w:hint="eastAsia" w:ascii="仿宋_GB2312" w:eastAsia="仿宋_GB2312"/>
          <w:b/>
          <w:sz w:val="32"/>
          <w:szCs w:val="32"/>
        </w:rPr>
      </w:pPr>
      <w:r>
        <w:rPr>
          <w:rFonts w:hint="eastAsia" w:ascii="仿宋_GB2312" w:eastAsia="仿宋_GB2312"/>
          <w:b/>
          <w:sz w:val="32"/>
          <w:szCs w:val="32"/>
        </w:rPr>
        <w:t>表17.部门预算项目（政策）绩效目标表</w:t>
      </w:r>
    </w:p>
    <w:p>
      <w:pPr>
        <w:jc w:val="left"/>
        <w:rPr>
          <w:rFonts w:hint="eastAsia"/>
          <w:b/>
          <w:sz w:val="44"/>
          <w:szCs w:val="44"/>
        </w:rPr>
      </w:pPr>
    </w:p>
    <w:p>
      <w:pPr>
        <w:jc w:val="center"/>
        <w:rPr>
          <w:rFonts w:hint="eastAsia"/>
          <w:b/>
          <w:sz w:val="44"/>
          <w:szCs w:val="44"/>
        </w:rPr>
      </w:pPr>
      <w:r>
        <w:rPr>
          <w:rFonts w:hint="eastAsia"/>
          <w:b/>
          <w:sz w:val="44"/>
          <w:szCs w:val="44"/>
        </w:rPr>
        <w:t>康平县</w:t>
      </w:r>
      <w:r>
        <w:rPr>
          <w:rFonts w:hint="eastAsia"/>
          <w:b/>
          <w:sz w:val="44"/>
          <w:szCs w:val="44"/>
          <w:lang w:val="en-US" w:eastAsia="zh-CN"/>
        </w:rPr>
        <w:t>人民政府</w:t>
      </w:r>
      <w:r>
        <w:rPr>
          <w:rFonts w:hint="eastAsia"/>
          <w:b/>
          <w:sz w:val="44"/>
          <w:szCs w:val="44"/>
        </w:rPr>
        <w:t>办公室</w:t>
      </w:r>
    </w:p>
    <w:p>
      <w:pPr>
        <w:jc w:val="center"/>
        <w:rPr>
          <w:b/>
          <w:sz w:val="44"/>
          <w:szCs w:val="44"/>
        </w:rPr>
      </w:pPr>
      <w:r>
        <w:rPr>
          <w:rFonts w:hint="eastAsia"/>
          <w:b/>
          <w:sz w:val="44"/>
          <w:szCs w:val="44"/>
        </w:rPr>
        <w:t>2022年预算公开说明</w:t>
      </w:r>
    </w:p>
    <w:p/>
    <w:p>
      <w:pPr>
        <w:pStyle w:val="9"/>
        <w:keepNext w:val="0"/>
        <w:keepLines w:val="0"/>
        <w:pageBreakBefore w:val="0"/>
        <w:kinsoku/>
        <w:wordWrap/>
        <w:overflowPunct/>
        <w:topLinePunct w:val="0"/>
        <w:autoSpaceDE/>
        <w:autoSpaceDN/>
        <w:bidi w:val="0"/>
        <w:adjustRightInd/>
        <w:snapToGrid/>
        <w:spacing w:line="600" w:lineRule="exact"/>
        <w:ind w:firstLine="630" w:firstLineChars="196"/>
        <w:textAlignment w:val="auto"/>
        <w:rPr>
          <w:rFonts w:hint="eastAsia" w:ascii="宋体" w:hAnsi="宋体" w:eastAsia="宋体" w:cs="宋体"/>
          <w:b/>
          <w:bCs/>
          <w:kern w:val="2"/>
          <w:sz w:val="32"/>
          <w:szCs w:val="32"/>
          <w:lang w:val="en-US" w:eastAsia="zh-CN" w:bidi="ar-SA"/>
        </w:rPr>
      </w:pPr>
      <w:r>
        <w:rPr>
          <w:rFonts w:hint="eastAsia" w:ascii="宋体" w:hAnsi="宋体" w:eastAsia="宋体" w:cs="宋体"/>
          <w:b/>
          <w:bCs/>
          <w:kern w:val="2"/>
          <w:sz w:val="32"/>
          <w:szCs w:val="32"/>
          <w:lang w:val="en-US" w:eastAsia="zh-CN" w:bidi="ar-SA"/>
        </w:rPr>
        <w:t>一、部门主要职责及机构设置情况</w:t>
      </w:r>
    </w:p>
    <w:p>
      <w:pPr>
        <w:pStyle w:val="4"/>
        <w:keepNext w:val="0"/>
        <w:keepLines w:val="0"/>
        <w:pageBreakBefore w:val="0"/>
        <w:kinsoku/>
        <w:wordWrap/>
        <w:overflowPunct/>
        <w:topLinePunct w:val="0"/>
        <w:autoSpaceDE/>
        <w:autoSpaceDN/>
        <w:bidi w:val="0"/>
        <w:adjustRightInd/>
        <w:snapToGrid/>
        <w:spacing w:line="600" w:lineRule="exact"/>
        <w:ind w:firstLine="48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 xml:space="preserve">主要职责是： </w:t>
      </w:r>
    </w:p>
    <w:p>
      <w:pPr>
        <w:pStyle w:val="4"/>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（一）负责政府日常文书处理和日常事务工作。</w:t>
      </w:r>
    </w:p>
    <w:p>
      <w:pPr>
        <w:pStyle w:val="4"/>
        <w:keepNext w:val="0"/>
        <w:keepLines w:val="0"/>
        <w:pageBreakBefore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（二）审批以县政府名义召开的各种会议。</w:t>
      </w:r>
    </w:p>
    <w:p>
      <w:pPr>
        <w:pStyle w:val="4"/>
        <w:keepNext w:val="0"/>
        <w:keepLines w:val="0"/>
        <w:pageBreakBefore w:val="0"/>
        <w:kinsoku/>
        <w:wordWrap/>
        <w:overflowPunct/>
        <w:topLinePunct w:val="0"/>
        <w:autoSpaceDE/>
        <w:autoSpaceDN/>
        <w:bidi w:val="0"/>
        <w:adjustRightInd/>
        <w:snapToGrid/>
        <w:spacing w:line="600" w:lineRule="exact"/>
        <w:ind w:firstLine="48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负责县政府会议的准备工作，协助县政府领导协调落实会议决定事项；</w:t>
      </w:r>
    </w:p>
    <w:p>
      <w:pPr>
        <w:pStyle w:val="4"/>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(三)起草和审核以县政府、县政府办公室名义发布的公文。</w:t>
      </w:r>
    </w:p>
    <w:p>
      <w:pPr>
        <w:pStyle w:val="4"/>
        <w:keepNext w:val="0"/>
        <w:keepLines w:val="0"/>
        <w:pageBreakBefore w:val="0"/>
        <w:kinsoku/>
        <w:wordWrap/>
        <w:overflowPunct/>
        <w:topLinePunct w:val="0"/>
        <w:autoSpaceDE/>
        <w:autoSpaceDN/>
        <w:bidi w:val="0"/>
        <w:adjustRightInd/>
        <w:snapToGrid/>
        <w:spacing w:line="600" w:lineRule="exact"/>
        <w:ind w:firstLine="48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(四)协助县政府领导组织处理需由县政府直接处理的突发性事件和重大事故。</w:t>
      </w:r>
    </w:p>
    <w:p>
      <w:pPr>
        <w:pStyle w:val="4"/>
        <w:keepNext w:val="0"/>
        <w:keepLines w:val="0"/>
        <w:pageBreakBefore w:val="0"/>
        <w:kinsoku/>
        <w:wordWrap/>
        <w:overflowPunct/>
        <w:topLinePunct w:val="0"/>
        <w:autoSpaceDE/>
        <w:autoSpaceDN/>
        <w:bidi w:val="0"/>
        <w:adjustRightInd/>
        <w:snapToGrid/>
        <w:spacing w:line="600" w:lineRule="exact"/>
        <w:ind w:firstLine="48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(五)负责县政府值班工作，及时向县政府领导报告重要情况，协助处理县政府各部门反映的重要问题。</w:t>
      </w:r>
    </w:p>
    <w:p>
      <w:pPr>
        <w:pStyle w:val="4"/>
        <w:keepNext w:val="0"/>
        <w:keepLines w:val="0"/>
        <w:pageBreakBefore w:val="0"/>
        <w:kinsoku/>
        <w:wordWrap/>
        <w:overflowPunct/>
        <w:topLinePunct w:val="0"/>
        <w:autoSpaceDE/>
        <w:autoSpaceDN/>
        <w:bidi w:val="0"/>
        <w:adjustRightInd/>
        <w:snapToGrid/>
        <w:spacing w:line="600" w:lineRule="exact"/>
        <w:ind w:firstLine="48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(六)负责县政府领导参加的重要活动的组织和协调安排工作。</w:t>
      </w:r>
    </w:p>
    <w:p>
      <w:pPr>
        <w:pStyle w:val="4"/>
        <w:keepNext w:val="0"/>
        <w:keepLines w:val="0"/>
        <w:pageBreakBefore w:val="0"/>
        <w:kinsoku/>
        <w:wordWrap/>
        <w:overflowPunct/>
        <w:topLinePunct w:val="0"/>
        <w:autoSpaceDE/>
        <w:autoSpaceDN/>
        <w:bidi w:val="0"/>
        <w:adjustRightInd/>
        <w:snapToGrid/>
        <w:spacing w:line="600" w:lineRule="exact"/>
        <w:ind w:firstLine="48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(七)负责承办县政府党组的日常工作。</w:t>
      </w:r>
    </w:p>
    <w:p>
      <w:pPr>
        <w:pStyle w:val="4"/>
        <w:keepNext w:val="0"/>
        <w:keepLines w:val="0"/>
        <w:pageBreakBefore w:val="0"/>
        <w:kinsoku/>
        <w:wordWrap/>
        <w:overflowPunct/>
        <w:topLinePunct w:val="0"/>
        <w:autoSpaceDE/>
        <w:autoSpaceDN/>
        <w:bidi w:val="0"/>
        <w:adjustRightInd/>
        <w:snapToGrid/>
        <w:spacing w:line="600" w:lineRule="exact"/>
        <w:ind w:firstLine="48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(八)负责管理县政府办公室所属单位党的建设、领导班子和人事劳资、职称工作。负责管理县政府办公室和所属单位国有资产。</w:t>
      </w:r>
    </w:p>
    <w:p>
      <w:pPr>
        <w:pStyle w:val="4"/>
        <w:keepNext w:val="0"/>
        <w:keepLines w:val="0"/>
        <w:pageBreakBefore w:val="0"/>
        <w:kinsoku/>
        <w:wordWrap/>
        <w:overflowPunct/>
        <w:topLinePunct w:val="0"/>
        <w:autoSpaceDE/>
        <w:autoSpaceDN/>
        <w:bidi w:val="0"/>
        <w:adjustRightInd/>
        <w:snapToGrid/>
        <w:spacing w:line="600" w:lineRule="exact"/>
        <w:ind w:firstLine="48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(九)负责县政府和县政府办公室离退休人员的服务管理工作。</w:t>
      </w:r>
    </w:p>
    <w:p>
      <w:pPr>
        <w:pStyle w:val="4"/>
        <w:keepNext w:val="0"/>
        <w:keepLines w:val="0"/>
        <w:pageBreakBefore w:val="0"/>
        <w:kinsoku/>
        <w:wordWrap/>
        <w:overflowPunct/>
        <w:topLinePunct w:val="0"/>
        <w:autoSpaceDE/>
        <w:autoSpaceDN/>
        <w:bidi w:val="0"/>
        <w:adjustRightInd/>
        <w:snapToGrid/>
        <w:spacing w:line="600" w:lineRule="exact"/>
        <w:ind w:firstLine="48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(十)完成县政府领导指示办理的其他工作任务。</w:t>
      </w:r>
    </w:p>
    <w:p>
      <w:pPr>
        <w:pStyle w:val="4"/>
        <w:keepNext w:val="0"/>
        <w:keepLines w:val="0"/>
        <w:pageBreakBefore w:val="0"/>
        <w:kinsoku/>
        <w:wordWrap/>
        <w:overflowPunct/>
        <w:topLinePunct w:val="0"/>
        <w:autoSpaceDE/>
        <w:autoSpaceDN/>
        <w:bidi w:val="0"/>
        <w:adjustRightInd/>
        <w:snapToGrid/>
        <w:spacing w:line="600" w:lineRule="exact"/>
        <w:ind w:firstLine="48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2.单位机构数1个，是财政全额拨款行政单位。</w:t>
      </w:r>
    </w:p>
    <w:p>
      <w:pPr>
        <w:pStyle w:val="4"/>
        <w:keepNext w:val="0"/>
        <w:keepLines w:val="0"/>
        <w:pageBreakBefore w:val="0"/>
        <w:kinsoku/>
        <w:wordWrap/>
        <w:overflowPunct/>
        <w:topLinePunct w:val="0"/>
        <w:autoSpaceDE/>
        <w:autoSpaceDN/>
        <w:bidi w:val="0"/>
        <w:adjustRightInd/>
        <w:snapToGrid/>
        <w:spacing w:line="600" w:lineRule="exact"/>
        <w:ind w:firstLine="48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3.人员情况：2022年初在职人员39人，(其中行</w:t>
      </w:r>
    </w:p>
    <w:p>
      <w:pPr>
        <w:pStyle w:val="4"/>
        <w:keepNext w:val="0"/>
        <w:keepLines w:val="0"/>
        <w:pageBreakBefore w:val="0"/>
        <w:kinsoku/>
        <w:wordWrap/>
        <w:overflowPunct/>
        <w:topLinePunct w:val="0"/>
        <w:autoSpaceDE/>
        <w:autoSpaceDN/>
        <w:bidi w:val="0"/>
        <w:adjustRightInd/>
        <w:snapToGrid/>
        <w:spacing w:line="600" w:lineRule="exact"/>
        <w:ind w:firstLine="48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政编25人，工勤编14人)。</w:t>
      </w:r>
    </w:p>
    <w:p>
      <w:pPr>
        <w:pStyle w:val="9"/>
        <w:keepNext w:val="0"/>
        <w:keepLines w:val="0"/>
        <w:pageBreakBefore w:val="0"/>
        <w:kinsoku/>
        <w:wordWrap/>
        <w:overflowPunct/>
        <w:topLinePunct w:val="0"/>
        <w:autoSpaceDE/>
        <w:autoSpaceDN/>
        <w:bidi w:val="0"/>
        <w:adjustRightInd/>
        <w:snapToGrid/>
        <w:spacing w:line="600" w:lineRule="exact"/>
        <w:ind w:firstLine="630" w:firstLineChars="196"/>
        <w:textAlignment w:val="auto"/>
        <w:rPr>
          <w:rFonts w:hint="eastAsia" w:ascii="宋体" w:hAnsi="宋体" w:eastAsia="宋体" w:cs="宋体"/>
          <w:b/>
          <w:bCs/>
          <w:kern w:val="2"/>
          <w:sz w:val="32"/>
          <w:szCs w:val="32"/>
          <w:lang w:val="en-US" w:eastAsia="zh-CN" w:bidi="ar-SA"/>
        </w:rPr>
      </w:pPr>
      <w:r>
        <w:rPr>
          <w:rFonts w:hint="eastAsia" w:ascii="宋体" w:hAnsi="宋体" w:eastAsia="宋体" w:cs="宋体"/>
          <w:b/>
          <w:bCs/>
          <w:kern w:val="2"/>
          <w:sz w:val="32"/>
          <w:szCs w:val="32"/>
          <w:lang w:val="en-US" w:eastAsia="zh-CN" w:bidi="ar-SA"/>
        </w:rPr>
        <w:t>二、预算收支增减变化情况</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（一）收入情况</w:t>
      </w:r>
    </w:p>
    <w:p>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2021年收入预算</w:t>
      </w:r>
      <w:r>
        <w:rPr>
          <w:rFonts w:hint="eastAsia" w:ascii="仿宋" w:hAnsi="仿宋" w:eastAsia="仿宋" w:cs="仿宋"/>
          <w:sz w:val="32"/>
          <w:szCs w:val="32"/>
          <w:lang w:val="en-US" w:eastAsia="zh-CN"/>
        </w:rPr>
        <w:t>512.53</w:t>
      </w:r>
      <w:r>
        <w:rPr>
          <w:rFonts w:hint="eastAsia" w:ascii="仿宋" w:hAnsi="仿宋" w:eastAsia="仿宋" w:cs="仿宋"/>
          <w:sz w:val="32"/>
          <w:szCs w:val="32"/>
        </w:rPr>
        <w:t>万元</w:t>
      </w:r>
      <w:r>
        <w:rPr>
          <w:rFonts w:hint="eastAsia" w:ascii="仿宋" w:hAnsi="仿宋" w:eastAsia="仿宋" w:cs="仿宋"/>
          <w:sz w:val="32"/>
          <w:szCs w:val="32"/>
          <w:lang w:eastAsia="zh-CN"/>
        </w:rPr>
        <w:t>。</w:t>
      </w:r>
      <w:r>
        <w:rPr>
          <w:rFonts w:hint="eastAsia" w:ascii="仿宋" w:hAnsi="仿宋" w:eastAsia="仿宋" w:cs="仿宋"/>
          <w:sz w:val="32"/>
          <w:szCs w:val="32"/>
        </w:rPr>
        <w:t>2022年预算数</w:t>
      </w:r>
      <w:r>
        <w:rPr>
          <w:rFonts w:hint="eastAsia" w:ascii="仿宋" w:hAnsi="仿宋" w:eastAsia="仿宋" w:cs="仿宋"/>
          <w:sz w:val="32"/>
          <w:szCs w:val="32"/>
          <w:lang w:val="en-US" w:eastAsia="zh-CN"/>
        </w:rPr>
        <w:t>472.8</w:t>
      </w:r>
      <w:r>
        <w:rPr>
          <w:rFonts w:hint="eastAsia" w:ascii="仿宋" w:hAnsi="仿宋" w:eastAsia="仿宋" w:cs="仿宋"/>
          <w:sz w:val="32"/>
          <w:szCs w:val="32"/>
        </w:rPr>
        <w:t>万元。2022年预算数比2021年预算数减少</w:t>
      </w:r>
      <w:r>
        <w:rPr>
          <w:rFonts w:hint="eastAsia" w:ascii="仿宋" w:hAnsi="仿宋" w:eastAsia="仿宋" w:cs="仿宋"/>
          <w:sz w:val="32"/>
          <w:szCs w:val="32"/>
          <w:lang w:val="en-US" w:eastAsia="zh-CN"/>
        </w:rPr>
        <w:t>39.73</w:t>
      </w:r>
      <w:r>
        <w:rPr>
          <w:rFonts w:hint="eastAsia" w:ascii="仿宋" w:hAnsi="仿宋" w:eastAsia="仿宋" w:cs="仿宋"/>
          <w:sz w:val="32"/>
          <w:szCs w:val="32"/>
        </w:rPr>
        <w:t>万元。减少</w:t>
      </w:r>
      <w:r>
        <w:rPr>
          <w:rFonts w:hint="eastAsia" w:ascii="仿宋" w:hAnsi="仿宋" w:eastAsia="仿宋" w:cs="仿宋"/>
          <w:sz w:val="32"/>
          <w:szCs w:val="32"/>
          <w:lang w:val="en-US" w:eastAsia="zh-CN"/>
        </w:rPr>
        <w:t>8</w:t>
      </w:r>
      <w:r>
        <w:rPr>
          <w:rFonts w:hint="eastAsia" w:ascii="仿宋" w:hAnsi="仿宋" w:eastAsia="仿宋" w:cs="仿宋"/>
          <w:sz w:val="32"/>
          <w:szCs w:val="32"/>
        </w:rPr>
        <w:t>%</w:t>
      </w:r>
      <w:r>
        <w:rPr>
          <w:rFonts w:hint="eastAsia" w:ascii="仿宋" w:hAnsi="仿宋" w:eastAsia="仿宋" w:cs="仿宋"/>
          <w:sz w:val="32"/>
          <w:szCs w:val="32"/>
          <w:lang w:eastAsia="zh-CN"/>
        </w:rPr>
        <w:t>。</w:t>
      </w:r>
      <w:r>
        <w:rPr>
          <w:rFonts w:hint="eastAsia" w:ascii="仿宋" w:hAnsi="仿宋" w:eastAsia="仿宋" w:cs="仿宋"/>
          <w:sz w:val="32"/>
          <w:szCs w:val="32"/>
        </w:rPr>
        <w:t>减少的主要原因是压缩项目支出。</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（二）支出情况</w:t>
      </w:r>
    </w:p>
    <w:p>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2021年支出预算</w:t>
      </w:r>
      <w:r>
        <w:rPr>
          <w:rFonts w:hint="eastAsia" w:ascii="仿宋" w:hAnsi="仿宋" w:eastAsia="仿宋" w:cs="仿宋"/>
          <w:sz w:val="32"/>
          <w:szCs w:val="32"/>
          <w:lang w:val="en-US" w:eastAsia="zh-CN"/>
        </w:rPr>
        <w:t>512.53</w:t>
      </w:r>
      <w:r>
        <w:rPr>
          <w:rFonts w:hint="eastAsia" w:ascii="仿宋" w:hAnsi="仿宋" w:eastAsia="仿宋" w:cs="仿宋"/>
          <w:sz w:val="32"/>
          <w:szCs w:val="32"/>
        </w:rPr>
        <w:t>万元</w:t>
      </w:r>
      <w:r>
        <w:rPr>
          <w:rFonts w:hint="eastAsia" w:ascii="仿宋" w:hAnsi="仿宋" w:eastAsia="仿宋" w:cs="仿宋"/>
          <w:sz w:val="32"/>
          <w:szCs w:val="32"/>
          <w:lang w:eastAsia="zh-CN"/>
        </w:rPr>
        <w:t>。</w:t>
      </w:r>
      <w:r>
        <w:rPr>
          <w:rFonts w:hint="eastAsia" w:ascii="仿宋" w:hAnsi="仿宋" w:eastAsia="仿宋" w:cs="仿宋"/>
          <w:sz w:val="32"/>
          <w:szCs w:val="32"/>
        </w:rPr>
        <w:t>2022年预算</w:t>
      </w:r>
      <w:r>
        <w:rPr>
          <w:rFonts w:hint="eastAsia" w:ascii="仿宋" w:hAnsi="仿宋" w:eastAsia="仿宋" w:cs="仿宋"/>
          <w:sz w:val="32"/>
          <w:szCs w:val="32"/>
          <w:lang w:val="en-US" w:eastAsia="zh-CN"/>
        </w:rPr>
        <w:t>472.8</w:t>
      </w:r>
      <w:r>
        <w:rPr>
          <w:rFonts w:hint="eastAsia" w:ascii="仿宋" w:hAnsi="仿宋" w:eastAsia="仿宋" w:cs="仿宋"/>
          <w:sz w:val="32"/>
          <w:szCs w:val="32"/>
        </w:rPr>
        <w:t>万元。2022年预算比2021年预算减少</w:t>
      </w:r>
      <w:r>
        <w:rPr>
          <w:rFonts w:hint="eastAsia" w:ascii="仿宋" w:hAnsi="仿宋" w:eastAsia="仿宋" w:cs="仿宋"/>
          <w:sz w:val="32"/>
          <w:szCs w:val="32"/>
          <w:lang w:val="en-US" w:eastAsia="zh-CN"/>
        </w:rPr>
        <w:t>39.73</w:t>
      </w:r>
      <w:r>
        <w:rPr>
          <w:rFonts w:hint="eastAsia" w:ascii="仿宋" w:hAnsi="仿宋" w:eastAsia="仿宋" w:cs="仿宋"/>
          <w:sz w:val="32"/>
          <w:szCs w:val="32"/>
        </w:rPr>
        <w:t>万元</w:t>
      </w:r>
      <w:r>
        <w:rPr>
          <w:rFonts w:hint="eastAsia" w:ascii="仿宋" w:hAnsi="仿宋" w:eastAsia="仿宋" w:cs="仿宋"/>
          <w:sz w:val="32"/>
          <w:szCs w:val="32"/>
          <w:lang w:eastAsia="zh-CN"/>
        </w:rPr>
        <w:t>，</w:t>
      </w:r>
      <w:r>
        <w:rPr>
          <w:rFonts w:hint="eastAsia" w:ascii="仿宋" w:hAnsi="仿宋" w:eastAsia="仿宋" w:cs="仿宋"/>
          <w:sz w:val="32"/>
          <w:szCs w:val="32"/>
        </w:rPr>
        <w:t>减少</w:t>
      </w:r>
      <w:r>
        <w:rPr>
          <w:rFonts w:hint="eastAsia" w:ascii="仿宋" w:hAnsi="仿宋" w:eastAsia="仿宋" w:cs="仿宋"/>
          <w:sz w:val="32"/>
          <w:szCs w:val="32"/>
          <w:lang w:val="en-US" w:eastAsia="zh-CN"/>
        </w:rPr>
        <w:t>8</w:t>
      </w:r>
      <w:r>
        <w:rPr>
          <w:rFonts w:hint="eastAsia" w:ascii="仿宋" w:hAnsi="仿宋" w:eastAsia="仿宋" w:cs="仿宋"/>
          <w:sz w:val="32"/>
          <w:szCs w:val="32"/>
        </w:rPr>
        <w:t>%</w:t>
      </w:r>
      <w:r>
        <w:rPr>
          <w:rFonts w:hint="eastAsia" w:ascii="仿宋" w:hAnsi="仿宋" w:eastAsia="仿宋" w:cs="仿宋"/>
          <w:sz w:val="32"/>
          <w:szCs w:val="32"/>
          <w:lang w:eastAsia="zh-CN"/>
        </w:rPr>
        <w:t>。</w:t>
      </w:r>
      <w:r>
        <w:rPr>
          <w:rFonts w:hint="eastAsia" w:ascii="仿宋" w:hAnsi="仿宋" w:eastAsia="仿宋" w:cs="仿宋"/>
          <w:sz w:val="32"/>
          <w:szCs w:val="32"/>
        </w:rPr>
        <w:t>减少的主要原因是压缩项目支出。</w:t>
      </w:r>
    </w:p>
    <w:p>
      <w:pPr>
        <w:pStyle w:val="9"/>
        <w:keepNext w:val="0"/>
        <w:keepLines w:val="0"/>
        <w:pageBreakBefore w:val="0"/>
        <w:kinsoku/>
        <w:wordWrap/>
        <w:overflowPunct/>
        <w:topLinePunct w:val="0"/>
        <w:autoSpaceDE/>
        <w:autoSpaceDN/>
        <w:bidi w:val="0"/>
        <w:adjustRightInd/>
        <w:snapToGrid/>
        <w:spacing w:line="600" w:lineRule="exact"/>
        <w:ind w:firstLine="630" w:firstLineChars="196"/>
        <w:textAlignment w:val="auto"/>
        <w:rPr>
          <w:rFonts w:hint="eastAsia" w:ascii="宋体" w:hAnsi="宋体" w:eastAsia="宋体" w:cs="宋体"/>
          <w:b/>
          <w:bCs/>
          <w:kern w:val="2"/>
          <w:sz w:val="32"/>
          <w:szCs w:val="32"/>
          <w:lang w:val="en-US" w:eastAsia="zh-CN" w:bidi="ar-SA"/>
        </w:rPr>
      </w:pPr>
      <w:r>
        <w:rPr>
          <w:rFonts w:hint="eastAsia" w:ascii="宋体" w:hAnsi="宋体" w:eastAsia="宋体" w:cs="宋体"/>
          <w:b/>
          <w:bCs/>
          <w:kern w:val="2"/>
          <w:sz w:val="32"/>
          <w:szCs w:val="32"/>
          <w:lang w:val="en-US" w:eastAsia="zh-CN" w:bidi="ar-SA"/>
        </w:rPr>
        <w:t>三、一般公共预算情况</w:t>
      </w:r>
    </w:p>
    <w:p>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2022年一般公共预算支出</w:t>
      </w:r>
      <w:r>
        <w:rPr>
          <w:rFonts w:hint="eastAsia" w:ascii="仿宋" w:hAnsi="仿宋" w:eastAsia="仿宋" w:cs="仿宋"/>
          <w:sz w:val="32"/>
          <w:szCs w:val="32"/>
          <w:lang w:val="en-US" w:eastAsia="zh-CN"/>
        </w:rPr>
        <w:t>472.8</w:t>
      </w:r>
      <w:r>
        <w:rPr>
          <w:rFonts w:hint="eastAsia" w:ascii="仿宋" w:hAnsi="仿宋" w:eastAsia="仿宋" w:cs="仿宋"/>
          <w:sz w:val="32"/>
          <w:szCs w:val="32"/>
        </w:rPr>
        <w:t>万元（详见部门预算公开表4,5,6,7），具体安排情况如下：</w:t>
      </w:r>
    </w:p>
    <w:p>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（一）基本支出</w:t>
      </w:r>
    </w:p>
    <w:p>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2022年基本支出</w:t>
      </w:r>
      <w:r>
        <w:rPr>
          <w:rFonts w:hint="eastAsia" w:ascii="仿宋" w:hAnsi="仿宋" w:eastAsia="仿宋" w:cs="仿宋"/>
          <w:sz w:val="32"/>
          <w:szCs w:val="32"/>
          <w:lang w:val="en-US" w:eastAsia="zh-CN"/>
        </w:rPr>
        <w:t>425.98</w:t>
      </w:r>
      <w:r>
        <w:rPr>
          <w:rFonts w:hint="eastAsia" w:ascii="仿宋" w:hAnsi="仿宋" w:eastAsia="仿宋" w:cs="仿宋"/>
          <w:sz w:val="32"/>
          <w:szCs w:val="32"/>
        </w:rPr>
        <w:t>万元，比2021年预算减少</w:t>
      </w:r>
      <w:r>
        <w:rPr>
          <w:rFonts w:hint="eastAsia" w:ascii="仿宋" w:hAnsi="仿宋" w:eastAsia="仿宋" w:cs="仿宋"/>
          <w:sz w:val="32"/>
          <w:szCs w:val="32"/>
          <w:lang w:val="en-US" w:eastAsia="zh-CN"/>
        </w:rPr>
        <w:t>15.4</w:t>
      </w:r>
      <w:r>
        <w:rPr>
          <w:rFonts w:hint="eastAsia" w:ascii="仿宋" w:hAnsi="仿宋" w:eastAsia="仿宋" w:cs="仿宋"/>
          <w:sz w:val="32"/>
          <w:szCs w:val="32"/>
        </w:rPr>
        <w:t>万元，减少</w:t>
      </w:r>
      <w:r>
        <w:rPr>
          <w:rFonts w:hint="eastAsia" w:ascii="仿宋" w:hAnsi="仿宋" w:eastAsia="仿宋" w:cs="仿宋"/>
          <w:sz w:val="32"/>
          <w:szCs w:val="32"/>
          <w:lang w:val="en-US" w:eastAsia="zh-CN"/>
        </w:rPr>
        <w:t>4</w:t>
      </w:r>
      <w:r>
        <w:rPr>
          <w:rFonts w:hint="eastAsia" w:ascii="仿宋" w:hAnsi="仿宋" w:eastAsia="仿宋" w:cs="仿宋"/>
          <w:sz w:val="32"/>
          <w:szCs w:val="32"/>
        </w:rPr>
        <w:t>%.减少的主要原因是压缩项目支出。</w:t>
      </w:r>
    </w:p>
    <w:p>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（二）项目支出</w:t>
      </w:r>
    </w:p>
    <w:p>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2022年一般公共预算财政拨款项目支出预算</w:t>
      </w:r>
      <w:r>
        <w:rPr>
          <w:rFonts w:hint="eastAsia" w:ascii="仿宋" w:hAnsi="仿宋" w:eastAsia="仿宋" w:cs="仿宋"/>
          <w:sz w:val="32"/>
          <w:szCs w:val="32"/>
          <w:lang w:val="en-US" w:eastAsia="zh-CN"/>
        </w:rPr>
        <w:t>46.82</w:t>
      </w:r>
      <w:r>
        <w:rPr>
          <w:rFonts w:hint="eastAsia" w:ascii="仿宋" w:hAnsi="仿宋" w:eastAsia="仿宋" w:cs="仿宋"/>
          <w:sz w:val="32"/>
          <w:szCs w:val="32"/>
        </w:rPr>
        <w:t>万元，比2021年预算减少</w:t>
      </w:r>
      <w:r>
        <w:rPr>
          <w:rFonts w:hint="eastAsia" w:ascii="仿宋" w:hAnsi="仿宋" w:eastAsia="仿宋" w:cs="仿宋"/>
          <w:sz w:val="32"/>
          <w:szCs w:val="32"/>
          <w:lang w:val="en-US" w:eastAsia="zh-CN"/>
        </w:rPr>
        <w:t>24.33</w:t>
      </w:r>
      <w:r>
        <w:rPr>
          <w:rFonts w:hint="eastAsia" w:ascii="仿宋" w:hAnsi="仿宋" w:eastAsia="仿宋" w:cs="仿宋"/>
          <w:sz w:val="32"/>
          <w:szCs w:val="32"/>
        </w:rPr>
        <w:t>万元，减少</w:t>
      </w:r>
      <w:r>
        <w:rPr>
          <w:rFonts w:hint="eastAsia" w:ascii="仿宋" w:hAnsi="仿宋" w:eastAsia="仿宋" w:cs="仿宋"/>
          <w:sz w:val="32"/>
          <w:szCs w:val="32"/>
          <w:lang w:val="en-US" w:eastAsia="zh-CN"/>
        </w:rPr>
        <w:t>35</w:t>
      </w:r>
      <w:r>
        <w:rPr>
          <w:rFonts w:hint="eastAsia" w:ascii="仿宋" w:hAnsi="仿宋" w:eastAsia="仿宋" w:cs="仿宋"/>
          <w:sz w:val="32"/>
          <w:szCs w:val="32"/>
        </w:rPr>
        <w:t>%，减少的主要原因是压缩项目支出</w:t>
      </w:r>
      <w:r>
        <w:rPr>
          <w:rFonts w:hint="eastAsia" w:ascii="仿宋" w:hAnsi="仿宋" w:eastAsia="仿宋" w:cs="仿宋"/>
          <w:sz w:val="32"/>
          <w:szCs w:val="32"/>
          <w:lang w:eastAsia="zh-CN"/>
        </w:rPr>
        <w:t>。</w:t>
      </w:r>
    </w:p>
    <w:p>
      <w:pPr>
        <w:pStyle w:val="9"/>
        <w:keepNext w:val="0"/>
        <w:keepLines w:val="0"/>
        <w:pageBreakBefore w:val="0"/>
        <w:kinsoku/>
        <w:wordWrap/>
        <w:overflowPunct/>
        <w:topLinePunct w:val="0"/>
        <w:autoSpaceDE/>
        <w:autoSpaceDN/>
        <w:bidi w:val="0"/>
        <w:adjustRightInd/>
        <w:snapToGrid/>
        <w:spacing w:line="600" w:lineRule="exact"/>
        <w:ind w:firstLine="630" w:firstLineChars="196"/>
        <w:textAlignment w:val="auto"/>
        <w:rPr>
          <w:rFonts w:hint="eastAsia" w:ascii="宋体" w:hAnsi="宋体" w:eastAsia="宋体" w:cs="宋体"/>
          <w:b/>
          <w:bCs/>
          <w:kern w:val="2"/>
          <w:sz w:val="32"/>
          <w:szCs w:val="32"/>
          <w:lang w:val="en-US" w:eastAsia="zh-CN" w:bidi="ar-SA"/>
        </w:rPr>
      </w:pPr>
      <w:r>
        <w:rPr>
          <w:rFonts w:hint="eastAsia" w:ascii="宋体" w:hAnsi="宋体" w:eastAsia="宋体" w:cs="宋体"/>
          <w:b/>
          <w:bCs/>
          <w:kern w:val="2"/>
          <w:sz w:val="32"/>
          <w:szCs w:val="32"/>
          <w:lang w:val="en-US" w:eastAsia="zh-CN" w:bidi="ar-SA"/>
        </w:rPr>
        <w:t>四、机关运行费安排情况</w:t>
      </w:r>
    </w:p>
    <w:p>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本年度机关基本运行经费为34.74万元，比2021年预算减少31.85元，减少48%，主要原因是厉行节约，严格执行中央八项规定和实施细则，落实过“紧日子”有关措施，机关运行经费相应减少。</w:t>
      </w:r>
    </w:p>
    <w:p>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机关基本运行经费主要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9"/>
        <w:keepNext w:val="0"/>
        <w:keepLines w:val="0"/>
        <w:pageBreakBefore w:val="0"/>
        <w:kinsoku/>
        <w:wordWrap/>
        <w:overflowPunct/>
        <w:topLinePunct w:val="0"/>
        <w:autoSpaceDE/>
        <w:autoSpaceDN/>
        <w:bidi w:val="0"/>
        <w:adjustRightInd/>
        <w:snapToGrid/>
        <w:spacing w:line="600" w:lineRule="exact"/>
        <w:ind w:firstLine="630" w:firstLineChars="196"/>
        <w:textAlignment w:val="auto"/>
        <w:rPr>
          <w:rFonts w:hint="eastAsia" w:ascii="宋体" w:hAnsi="宋体" w:eastAsia="宋体" w:cs="宋体"/>
          <w:b/>
          <w:bCs/>
          <w:kern w:val="2"/>
          <w:sz w:val="32"/>
          <w:szCs w:val="32"/>
          <w:lang w:val="en-US" w:eastAsia="zh-CN" w:bidi="ar-SA"/>
        </w:rPr>
      </w:pPr>
      <w:r>
        <w:rPr>
          <w:rFonts w:hint="eastAsia" w:ascii="宋体" w:hAnsi="宋体" w:eastAsia="宋体" w:cs="宋体"/>
          <w:b/>
          <w:bCs/>
          <w:kern w:val="2"/>
          <w:sz w:val="32"/>
          <w:szCs w:val="32"/>
          <w:lang w:val="en-US" w:eastAsia="zh-CN" w:bidi="ar-SA"/>
        </w:rPr>
        <w:t>五、政府采购安排情况</w:t>
      </w:r>
    </w:p>
    <w:p>
      <w:pPr>
        <w:pStyle w:val="4"/>
        <w:keepNext w:val="0"/>
        <w:keepLines w:val="0"/>
        <w:pageBreakBefore w:val="0"/>
        <w:kinsoku/>
        <w:wordWrap/>
        <w:overflowPunct/>
        <w:topLinePunct w:val="0"/>
        <w:autoSpaceDE/>
        <w:autoSpaceDN/>
        <w:bidi w:val="0"/>
        <w:adjustRightInd/>
        <w:snapToGrid/>
        <w:spacing w:before="0" w:beforeAutospacing="0" w:after="0" w:afterAutospacing="0" w:line="600" w:lineRule="exact"/>
        <w:ind w:firstLine="640" w:firstLineChars="200"/>
        <w:textAlignment w:val="auto"/>
        <w:rPr>
          <w:rFonts w:hint="eastAsia" w:ascii="仿宋" w:hAnsi="仿宋" w:eastAsia="仿宋" w:cs="仿宋"/>
          <w:sz w:val="32"/>
          <w:szCs w:val="32"/>
        </w:rPr>
      </w:pPr>
      <w:r>
        <w:rPr>
          <w:rFonts w:hint="eastAsia" w:ascii="仿宋" w:hAnsi="仿宋" w:eastAsia="仿宋" w:cs="仿宋"/>
          <w:bCs/>
          <w:sz w:val="32"/>
          <w:szCs w:val="32"/>
        </w:rPr>
        <w:t>本年度没有货物、工程、服务政府采购预算项目，但以实际发生为准。</w:t>
      </w:r>
    </w:p>
    <w:p>
      <w:pPr>
        <w:pStyle w:val="4"/>
        <w:keepNext w:val="0"/>
        <w:keepLines w:val="0"/>
        <w:pageBreakBefore w:val="0"/>
        <w:numPr>
          <w:ilvl w:val="0"/>
          <w:numId w:val="1"/>
        </w:numPr>
        <w:kinsoku/>
        <w:wordWrap/>
        <w:overflowPunct/>
        <w:topLinePunct w:val="0"/>
        <w:autoSpaceDE/>
        <w:autoSpaceDN/>
        <w:bidi w:val="0"/>
        <w:adjustRightInd/>
        <w:snapToGrid/>
        <w:spacing w:before="0" w:beforeAutospacing="0" w:after="0" w:afterAutospacing="0" w:line="600" w:lineRule="exact"/>
        <w:textAlignment w:val="auto"/>
        <w:rPr>
          <w:rFonts w:hint="eastAsia" w:ascii="宋体" w:hAnsi="宋体" w:eastAsia="宋体" w:cs="宋体"/>
          <w:b/>
          <w:bCs/>
          <w:kern w:val="2"/>
          <w:sz w:val="32"/>
          <w:szCs w:val="32"/>
          <w:lang w:val="en-US" w:eastAsia="zh-CN" w:bidi="ar-SA"/>
        </w:rPr>
      </w:pPr>
      <w:r>
        <w:rPr>
          <w:rFonts w:hint="eastAsia" w:ascii="宋体" w:hAnsi="宋体" w:eastAsia="宋体" w:cs="宋体"/>
          <w:b/>
          <w:bCs/>
          <w:kern w:val="2"/>
          <w:sz w:val="32"/>
          <w:szCs w:val="32"/>
          <w:lang w:val="en-US" w:eastAsia="zh-CN" w:bidi="ar-SA"/>
        </w:rPr>
        <w:t>“三公”经费增减变化原因等情况说明</w:t>
      </w:r>
    </w:p>
    <w:p>
      <w:pPr>
        <w:pStyle w:val="4"/>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600" w:lineRule="exact"/>
        <w:ind w:left="0" w:leftChars="0" w:firstLine="640" w:firstLineChars="200"/>
        <w:jc w:val="left"/>
        <w:textAlignment w:val="auto"/>
        <w:rPr>
          <w:rFonts w:hint="default"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2022年一般公共预算“三公”经费预算数7万元，其中：因公出国（境）费0万元；公务用车购置及运行费5万元；公务接待费2万元。2021年一般公共预算“三公”经费预算数5万元，2022年预算数比2021年预算数增加2万元，与上年相比增加29%，</w:t>
      </w:r>
      <w:r>
        <w:rPr>
          <w:rFonts w:hint="eastAsia" w:ascii="仿宋_GB2312" w:hAnsi="宋体" w:eastAsia="仿宋_GB2312"/>
          <w:sz w:val="32"/>
          <w:szCs w:val="32"/>
        </w:rPr>
        <w:t>其中：因公出国（境）费比</w:t>
      </w:r>
      <w:r>
        <w:rPr>
          <w:rFonts w:hint="eastAsia" w:ascii="仿宋_GB2312" w:hAnsi="宋体" w:eastAsia="仿宋_GB2312"/>
          <w:sz w:val="32"/>
          <w:szCs w:val="32"/>
          <w:lang w:eastAsia="zh-CN"/>
        </w:rPr>
        <w:t>2022</w:t>
      </w:r>
      <w:r>
        <w:rPr>
          <w:rFonts w:hint="eastAsia" w:ascii="仿宋_GB2312" w:hAnsi="宋体" w:eastAsia="仿宋_GB2312"/>
          <w:sz w:val="32"/>
          <w:szCs w:val="32"/>
        </w:rPr>
        <w:t>年预算数减少</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万元；公务用车购置及运行费比</w:t>
      </w:r>
      <w:r>
        <w:rPr>
          <w:rFonts w:hint="eastAsia" w:ascii="仿宋_GB2312" w:hAnsi="宋体" w:eastAsia="仿宋_GB2312"/>
          <w:sz w:val="32"/>
          <w:szCs w:val="32"/>
          <w:lang w:eastAsia="zh-CN"/>
        </w:rPr>
        <w:t>2022</w:t>
      </w:r>
      <w:r>
        <w:rPr>
          <w:rFonts w:hint="eastAsia" w:ascii="仿宋_GB2312" w:hAnsi="宋体" w:eastAsia="仿宋_GB2312"/>
          <w:sz w:val="32"/>
          <w:szCs w:val="32"/>
        </w:rPr>
        <w:t>年预算数减少</w:t>
      </w:r>
      <w:r>
        <w:rPr>
          <w:rFonts w:hint="eastAsia" w:ascii="仿宋_GB2312" w:hAnsi="宋体" w:eastAsia="仿宋_GB2312"/>
          <w:sz w:val="32"/>
          <w:szCs w:val="32"/>
          <w:lang w:val="en-US" w:eastAsia="zh-CN"/>
        </w:rPr>
        <w:t>0</w:t>
      </w:r>
      <w:r>
        <w:rPr>
          <w:rFonts w:hint="eastAsia" w:ascii="仿宋_GB2312" w:hAnsi="宋体" w:eastAsia="仿宋_GB2312"/>
          <w:sz w:val="32"/>
          <w:szCs w:val="32"/>
        </w:rPr>
        <w:t>万元；公务接待费比</w:t>
      </w:r>
      <w:r>
        <w:rPr>
          <w:rFonts w:hint="eastAsia" w:ascii="仿宋_GB2312" w:hAnsi="宋体" w:eastAsia="仿宋_GB2312"/>
          <w:sz w:val="32"/>
          <w:szCs w:val="32"/>
          <w:lang w:eastAsia="zh-CN"/>
        </w:rPr>
        <w:t>2022</w:t>
      </w:r>
      <w:r>
        <w:rPr>
          <w:rFonts w:hint="eastAsia" w:ascii="仿宋_GB2312" w:hAnsi="宋体" w:eastAsia="仿宋_GB2312"/>
          <w:sz w:val="32"/>
          <w:szCs w:val="32"/>
        </w:rPr>
        <w:t>年预算数</w:t>
      </w:r>
      <w:r>
        <w:rPr>
          <w:rFonts w:hint="eastAsia" w:ascii="仿宋_GB2312" w:hAnsi="宋体" w:eastAsia="仿宋_GB2312"/>
          <w:sz w:val="32"/>
          <w:szCs w:val="32"/>
          <w:lang w:val="en-US" w:eastAsia="zh-CN"/>
        </w:rPr>
        <w:t>增加2</w:t>
      </w:r>
      <w:r>
        <w:rPr>
          <w:rFonts w:hint="eastAsia" w:ascii="仿宋_GB2312" w:hAnsi="宋体" w:eastAsia="仿宋_GB2312"/>
          <w:sz w:val="32"/>
          <w:szCs w:val="32"/>
        </w:rPr>
        <w:t>万元</w:t>
      </w:r>
      <w:r>
        <w:rPr>
          <w:rFonts w:hint="eastAsia" w:ascii="仿宋" w:hAnsi="仿宋" w:eastAsia="仿宋" w:cs="仿宋"/>
          <w:kern w:val="2"/>
          <w:sz w:val="32"/>
          <w:szCs w:val="32"/>
          <w:lang w:val="en-US" w:eastAsia="zh-CN" w:bidi="ar-SA"/>
        </w:rPr>
        <w:t>主要原因是2021年未将公务接待费纳入预算</w:t>
      </w:r>
      <w:bookmarkStart w:id="0" w:name="_GoBack"/>
      <w:bookmarkEnd w:id="0"/>
      <w:r>
        <w:rPr>
          <w:rFonts w:hint="eastAsia" w:ascii="仿宋" w:hAnsi="仿宋" w:eastAsia="仿宋" w:cs="仿宋"/>
          <w:kern w:val="2"/>
          <w:sz w:val="32"/>
          <w:szCs w:val="32"/>
          <w:lang w:val="en-US" w:eastAsia="zh-CN" w:bidi="ar-SA"/>
        </w:rPr>
        <w:t>。</w:t>
      </w:r>
    </w:p>
    <w:p>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1.因公出国（境）费用0万元，下降的主要原因是厉行节约，严格执行中央八项规定和实施细则，落实过“紧日子”有关措施，压减因公出国（境）费。</w:t>
      </w:r>
    </w:p>
    <w:p>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2.公务接待费2万元，主要原因是厉行节约，严格执行中央八项规定和实施细则，落实过“紧日子”有关措施，压减公务接待费。</w:t>
      </w:r>
    </w:p>
    <w:p>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3.公务用车购置及运行维护费5万元，主要原因是严格执行中央八项规定和实施细则，落实过“紧日子”有关措施.压减公务用车购置费，控制压缩运行维护费支出。</w:t>
      </w:r>
    </w:p>
    <w:p>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4.培训费0万元，主要原因是厉行节约，严格执行中央八项规定和实施细则，落实过“紧日子”有关措施，压减培训费。</w:t>
      </w:r>
    </w:p>
    <w:p>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5.会议费0万元，主要原因是厉行节约，严格执行中央八项规定和实施细则，落实过“紧日子”有关措施，压减会议费。</w:t>
      </w:r>
    </w:p>
    <w:p>
      <w:pPr>
        <w:pStyle w:val="4"/>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600" w:lineRule="exact"/>
        <w:ind w:left="643" w:leftChars="0"/>
        <w:textAlignment w:val="auto"/>
        <w:rPr>
          <w:rFonts w:hint="eastAsia" w:ascii="宋体" w:hAnsi="宋体" w:eastAsia="宋体" w:cs="宋体"/>
          <w:b/>
          <w:bCs/>
          <w:kern w:val="2"/>
          <w:sz w:val="32"/>
          <w:szCs w:val="32"/>
          <w:lang w:val="en-US" w:eastAsia="zh-CN" w:bidi="ar-SA"/>
        </w:rPr>
      </w:pPr>
      <w:r>
        <w:rPr>
          <w:rFonts w:hint="eastAsia" w:ascii="宋体" w:hAnsi="宋体" w:eastAsia="宋体" w:cs="宋体"/>
          <w:b/>
          <w:bCs/>
          <w:kern w:val="2"/>
          <w:sz w:val="32"/>
          <w:szCs w:val="32"/>
          <w:lang w:val="en-US" w:eastAsia="zh-CN" w:bidi="ar-SA"/>
        </w:rPr>
        <w:t>七、预算绩效情况</w:t>
      </w:r>
    </w:p>
    <w:p>
      <w:pPr>
        <w:keepNext w:val="0"/>
        <w:keepLines w:val="0"/>
        <w:pageBreakBefore w:val="0"/>
        <w:kinsoku/>
        <w:wordWrap/>
        <w:overflowPunct/>
        <w:topLinePunct w:val="0"/>
        <w:autoSpaceDE/>
        <w:autoSpaceDN/>
        <w:bidi w:val="0"/>
        <w:adjustRightInd/>
        <w:snapToGrid/>
        <w:spacing w:line="600" w:lineRule="exact"/>
        <w:ind w:firstLine="640"/>
        <w:jc w:val="left"/>
        <w:textAlignment w:val="auto"/>
        <w:rPr>
          <w:rFonts w:hint="eastAsia" w:ascii="仿宋" w:hAnsi="仿宋" w:eastAsia="仿宋" w:cs="仿宋"/>
          <w:b/>
          <w:sz w:val="32"/>
          <w:szCs w:val="32"/>
        </w:rPr>
      </w:pPr>
      <w:r>
        <w:rPr>
          <w:rFonts w:hint="eastAsia" w:ascii="仿宋" w:hAnsi="仿宋" w:eastAsia="仿宋" w:cs="仿宋"/>
          <w:sz w:val="32"/>
          <w:szCs w:val="32"/>
        </w:rPr>
        <w:t>2022年，我单位将认真贯彻落实财政部预算绩效管理工作要求，以预算编制执行与绩效评价并重，坚持预算先行，钱随事走，绩效管理、中期调整，2022年度资金绩效监控工作和绩效评价工作，抓好预算绩效管理制度建设，提升自评质量，深化预算绩效管理工作，有效保证资金的安全高效支出。</w:t>
      </w:r>
    </w:p>
    <w:p>
      <w:pPr>
        <w:pStyle w:val="4"/>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600" w:lineRule="exact"/>
        <w:ind w:left="643" w:leftChars="0"/>
        <w:textAlignment w:val="auto"/>
        <w:rPr>
          <w:rFonts w:hint="eastAsia" w:ascii="宋体" w:hAnsi="宋体" w:eastAsia="宋体" w:cs="宋体"/>
          <w:b/>
          <w:bCs/>
          <w:kern w:val="2"/>
          <w:sz w:val="32"/>
          <w:szCs w:val="32"/>
          <w:lang w:val="en-US" w:eastAsia="zh-CN" w:bidi="ar-SA"/>
        </w:rPr>
      </w:pPr>
      <w:r>
        <w:rPr>
          <w:rFonts w:hint="eastAsia" w:ascii="宋体" w:hAnsi="宋体" w:eastAsia="宋体" w:cs="宋体"/>
          <w:b/>
          <w:bCs/>
          <w:kern w:val="2"/>
          <w:sz w:val="32"/>
          <w:szCs w:val="32"/>
          <w:lang w:val="en-US" w:eastAsia="zh-CN" w:bidi="ar-SA"/>
        </w:rPr>
        <w:t>八、国有资产占用使用情况</w:t>
      </w:r>
    </w:p>
    <w:p>
      <w:pPr>
        <w:pStyle w:val="4"/>
        <w:keepNext w:val="0"/>
        <w:keepLines w:val="0"/>
        <w:pageBreakBefore w:val="0"/>
        <w:kinsoku/>
        <w:wordWrap/>
        <w:overflowPunct/>
        <w:topLinePunct w:val="0"/>
        <w:autoSpaceDE/>
        <w:autoSpaceDN/>
        <w:bidi w:val="0"/>
        <w:adjustRightInd/>
        <w:snapToGrid/>
        <w:spacing w:before="0" w:beforeAutospacing="0" w:after="0" w:afterAutospacing="0" w:line="600" w:lineRule="exact"/>
        <w:ind w:firstLine="640" w:firstLineChars="200"/>
        <w:textAlignment w:val="auto"/>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上年末固定资产原值为178.43669万元，累计折旧69.871445万元，净值为108.565245万元。其中：土地、房屋办公用房0平方米，2021年增加通用设备48.5951万元，家具、用具11.4433万元，专用设备0.6799万元。单价20万元以上的设备价值23.8万元。</w:t>
      </w:r>
    </w:p>
    <w:p>
      <w:pPr>
        <w:pStyle w:val="4"/>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600" w:lineRule="exact"/>
        <w:ind w:left="643" w:leftChars="0"/>
        <w:textAlignment w:val="auto"/>
        <w:rPr>
          <w:rFonts w:hint="eastAsia" w:ascii="宋体" w:hAnsi="宋体" w:eastAsia="宋体" w:cs="宋体"/>
          <w:b/>
          <w:bCs/>
          <w:kern w:val="2"/>
          <w:sz w:val="32"/>
          <w:szCs w:val="32"/>
          <w:lang w:val="en-US" w:eastAsia="zh-CN" w:bidi="ar-SA"/>
        </w:rPr>
      </w:pPr>
      <w:r>
        <w:rPr>
          <w:rFonts w:hint="eastAsia" w:ascii="宋体" w:hAnsi="宋体" w:eastAsia="宋体" w:cs="宋体"/>
          <w:b/>
          <w:bCs/>
          <w:kern w:val="2"/>
          <w:sz w:val="32"/>
          <w:szCs w:val="32"/>
          <w:lang w:val="en-US" w:eastAsia="zh-CN" w:bidi="ar-SA"/>
        </w:rPr>
        <w:t>九、名词解释</w:t>
      </w:r>
    </w:p>
    <w:p>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1.财政拨款收入：指市级财政当年拨付的资金。</w:t>
      </w:r>
    </w:p>
    <w:p>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2.上级补助收入：指事业单位从主管部门和上级单位取得的非财政补助收入。</w:t>
      </w:r>
    </w:p>
    <w:p>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3.附属单位上缴收入：指已纳入部门预算管理的独立核算的附属单位按照有关规定上缴的收入。</w:t>
      </w:r>
    </w:p>
    <w:p>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4. 其他收入：指除上述“财政拨款收入”、“纳入专户管理的预算外资金拨款”、“上级补助、附属单位上缴收入”以外的收入。</w:t>
      </w:r>
    </w:p>
    <w:p>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5.一般公共服务（类）财政事务（款）行政运行（项）：反映行政单位（包括实行公务员管理的事业单位）的基本支出。</w:t>
      </w:r>
    </w:p>
    <w:p>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6.一般公共服务（类）财政事务（款）一般行政管理事务（项）：反映行政单位（包括实行公务员管理的事业单位）未单独设置项级科目的其他项目支出。</w:t>
      </w:r>
    </w:p>
    <w:p>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7.一般公共服务（类）财政事务（款）预算改革业务（项）：反映财政部门用于预算改革方面的支出。</w:t>
      </w:r>
    </w:p>
    <w:p>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8.一般公共服务（类）财政事务（款）财政国库业务（项）：反映财政部门用于财政国库集中收付业务方面的支出。</w:t>
      </w:r>
    </w:p>
    <w:p>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9.一般公共服务（类）财政事务（款）事业运行（项）：反映事业单位的基本支出，不包括行政单位（包括实行公务员管理的事业单位）后勤服务中心、医务室等附属事业单位。</w:t>
      </w:r>
    </w:p>
    <w:p>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10.一般公共服务（类）财政事务（款）其他财政事务支出（项）：反映除上述项目以外其他财政事务方面的支出。</w:t>
      </w:r>
    </w:p>
    <w:p>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11.社会保障和就业（类）行政事业单位离退休（款）归口管理的行政单位离退休（项）：反映实行归口管理的行政单位（包括实行公务员管理的事业单位）开支的离退休经费。</w:t>
      </w:r>
    </w:p>
    <w:p>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12.社会保障和就业（类）行政事业单位离退休（款）事业单位离退休（项）：反映实行归口管理的事业单位开支的离退休经费。</w:t>
      </w:r>
    </w:p>
    <w:p>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13.医疗卫生与计划生育（类）医疗保障（款）行政单位医疗（项）：反映财政部门集中安排的行政单位基本医疗保险缴费经费，未参加医疗保险的行政单位的公费医疗经费，按国家规定享受离休人员、红军老战士待遇人员的医疗经费。</w:t>
      </w:r>
    </w:p>
    <w:p>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14.医疗卫生与计划生育（类）医疗保障（款）事业单位医疗（项）：反映财政部门集中安排的事业单位基本医疗保险缴费经费，未参加医疗保险的事业单位的公费医疗经费，按国家规定享受离休人员待遇人员的医疗经费。</w:t>
      </w:r>
    </w:p>
    <w:p>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15.住房保障（类）住房改革（款）住房公积金（项）：反映行政事业单位按人力资源和社会保障部、财政部规定的基本工资和津贴补贴以及规定比例为职工缴纳的住房公积金。</w:t>
      </w:r>
    </w:p>
    <w:p>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16. 基本支出：指保障机构正常运转、完成日常工作任务而发生的人员支出和公用支出。</w:t>
      </w:r>
    </w:p>
    <w:p>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17. 项目支出：指在基本支出之外为完成特定行政任务和事业发展目标所发生的支出。</w:t>
      </w:r>
    </w:p>
    <w:p>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18.“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sz w:val="32"/>
          <w:szCs w:val="32"/>
        </w:rPr>
        <w:t>19.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keepNext w:val="0"/>
        <w:keepLines w:val="0"/>
        <w:pageBreakBefore w:val="0"/>
        <w:kinsoku/>
        <w:wordWrap/>
        <w:overflowPunct/>
        <w:topLinePunct w:val="0"/>
        <w:autoSpaceDE/>
        <w:autoSpaceDN/>
        <w:bidi w:val="0"/>
        <w:adjustRightInd/>
        <w:snapToGrid/>
        <w:spacing w:line="600" w:lineRule="exact"/>
        <w:ind w:firstLine="640" w:firstLineChars="200"/>
        <w:textAlignment w:val="auto"/>
        <w:rPr>
          <w:rFonts w:hint="eastAsia" w:ascii="仿宋" w:hAnsi="仿宋" w:eastAsia="仿宋" w:cs="仿宋"/>
          <w:sz w:val="32"/>
          <w:szCs w:val="32"/>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5D7627"/>
    <w:multiLevelType w:val="multilevel"/>
    <w:tmpl w:val="265D7627"/>
    <w:lvl w:ilvl="0" w:tentative="0">
      <w:start w:val="6"/>
      <w:numFmt w:val="japaneseCounting"/>
      <w:lvlText w:val="%1、"/>
      <w:lvlJc w:val="left"/>
      <w:pPr>
        <w:ind w:left="1363" w:hanging="720"/>
      </w:pPr>
      <w:rPr>
        <w:rFonts w:hint="default"/>
      </w:rPr>
    </w:lvl>
    <w:lvl w:ilvl="1" w:tentative="0">
      <w:start w:val="1"/>
      <w:numFmt w:val="lowerLetter"/>
      <w:lvlText w:val="%2)"/>
      <w:lvlJc w:val="left"/>
      <w:pPr>
        <w:ind w:left="1483" w:hanging="420"/>
      </w:pPr>
    </w:lvl>
    <w:lvl w:ilvl="2" w:tentative="0">
      <w:start w:val="1"/>
      <w:numFmt w:val="lowerRoman"/>
      <w:lvlText w:val="%3."/>
      <w:lvlJc w:val="right"/>
      <w:pPr>
        <w:ind w:left="1903" w:hanging="420"/>
      </w:pPr>
    </w:lvl>
    <w:lvl w:ilvl="3" w:tentative="0">
      <w:start w:val="1"/>
      <w:numFmt w:val="decimal"/>
      <w:lvlText w:val="%4."/>
      <w:lvlJc w:val="left"/>
      <w:pPr>
        <w:ind w:left="2323" w:hanging="420"/>
      </w:pPr>
    </w:lvl>
    <w:lvl w:ilvl="4" w:tentative="0">
      <w:start w:val="1"/>
      <w:numFmt w:val="lowerLetter"/>
      <w:lvlText w:val="%5)"/>
      <w:lvlJc w:val="left"/>
      <w:pPr>
        <w:ind w:left="2743" w:hanging="420"/>
      </w:pPr>
    </w:lvl>
    <w:lvl w:ilvl="5" w:tentative="0">
      <w:start w:val="1"/>
      <w:numFmt w:val="lowerRoman"/>
      <w:lvlText w:val="%6."/>
      <w:lvlJc w:val="right"/>
      <w:pPr>
        <w:ind w:left="3163" w:hanging="420"/>
      </w:pPr>
    </w:lvl>
    <w:lvl w:ilvl="6" w:tentative="0">
      <w:start w:val="1"/>
      <w:numFmt w:val="decimal"/>
      <w:lvlText w:val="%7."/>
      <w:lvlJc w:val="left"/>
      <w:pPr>
        <w:ind w:left="3583" w:hanging="420"/>
      </w:pPr>
    </w:lvl>
    <w:lvl w:ilvl="7" w:tentative="0">
      <w:start w:val="1"/>
      <w:numFmt w:val="lowerLetter"/>
      <w:lvlText w:val="%8)"/>
      <w:lvlJc w:val="left"/>
      <w:pPr>
        <w:ind w:left="4003" w:hanging="420"/>
      </w:pPr>
    </w:lvl>
    <w:lvl w:ilvl="8" w:tentative="0">
      <w:start w:val="1"/>
      <w:numFmt w:val="lowerRoman"/>
      <w:lvlText w:val="%9."/>
      <w:lvlJc w:val="right"/>
      <w:pPr>
        <w:ind w:left="4423"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M5YTI5NzU2YjVmZThjMGFiZGExYWI3ODlmMzdhMjUifQ=="/>
  </w:docVars>
  <w:rsids>
    <w:rsidRoot w:val="008E1E9C"/>
    <w:rsid w:val="00003B86"/>
    <w:rsid w:val="00005C61"/>
    <w:rsid w:val="00007374"/>
    <w:rsid w:val="0001007C"/>
    <w:rsid w:val="000135F1"/>
    <w:rsid w:val="0001483D"/>
    <w:rsid w:val="00020280"/>
    <w:rsid w:val="000203EE"/>
    <w:rsid w:val="00020601"/>
    <w:rsid w:val="00020F89"/>
    <w:rsid w:val="00022BD0"/>
    <w:rsid w:val="00025826"/>
    <w:rsid w:val="00027134"/>
    <w:rsid w:val="0003345F"/>
    <w:rsid w:val="000348E0"/>
    <w:rsid w:val="000377B0"/>
    <w:rsid w:val="000403D1"/>
    <w:rsid w:val="000422BD"/>
    <w:rsid w:val="0004407E"/>
    <w:rsid w:val="00053C12"/>
    <w:rsid w:val="00054609"/>
    <w:rsid w:val="00062552"/>
    <w:rsid w:val="00063CCB"/>
    <w:rsid w:val="000657CF"/>
    <w:rsid w:val="00067207"/>
    <w:rsid w:val="00071928"/>
    <w:rsid w:val="00072D1D"/>
    <w:rsid w:val="000731DA"/>
    <w:rsid w:val="00075418"/>
    <w:rsid w:val="00080CE2"/>
    <w:rsid w:val="00082C89"/>
    <w:rsid w:val="00092E2B"/>
    <w:rsid w:val="00097E1B"/>
    <w:rsid w:val="000A4ED6"/>
    <w:rsid w:val="000B4615"/>
    <w:rsid w:val="000B545E"/>
    <w:rsid w:val="000C170B"/>
    <w:rsid w:val="000C446E"/>
    <w:rsid w:val="000D465A"/>
    <w:rsid w:val="000D75E6"/>
    <w:rsid w:val="000E4194"/>
    <w:rsid w:val="000E5154"/>
    <w:rsid w:val="000F1771"/>
    <w:rsid w:val="000F1AF2"/>
    <w:rsid w:val="000F432E"/>
    <w:rsid w:val="00103A49"/>
    <w:rsid w:val="00113D39"/>
    <w:rsid w:val="0011450A"/>
    <w:rsid w:val="00122731"/>
    <w:rsid w:val="00123338"/>
    <w:rsid w:val="00127FF9"/>
    <w:rsid w:val="0013276F"/>
    <w:rsid w:val="001340D6"/>
    <w:rsid w:val="00134A51"/>
    <w:rsid w:val="001407D7"/>
    <w:rsid w:val="0014240E"/>
    <w:rsid w:val="00142F1A"/>
    <w:rsid w:val="0014458B"/>
    <w:rsid w:val="001477EA"/>
    <w:rsid w:val="00147DA0"/>
    <w:rsid w:val="00165774"/>
    <w:rsid w:val="00165D26"/>
    <w:rsid w:val="00167C66"/>
    <w:rsid w:val="00174499"/>
    <w:rsid w:val="00175E0D"/>
    <w:rsid w:val="001773D0"/>
    <w:rsid w:val="00181A83"/>
    <w:rsid w:val="00185F4F"/>
    <w:rsid w:val="001935DD"/>
    <w:rsid w:val="00193ACC"/>
    <w:rsid w:val="00194081"/>
    <w:rsid w:val="00196F01"/>
    <w:rsid w:val="001A02BD"/>
    <w:rsid w:val="001B2405"/>
    <w:rsid w:val="001B43C5"/>
    <w:rsid w:val="001D1181"/>
    <w:rsid w:val="001D7C9B"/>
    <w:rsid w:val="001E34DD"/>
    <w:rsid w:val="001F34E5"/>
    <w:rsid w:val="001F5749"/>
    <w:rsid w:val="0020212F"/>
    <w:rsid w:val="00202299"/>
    <w:rsid w:val="00203C87"/>
    <w:rsid w:val="00210E20"/>
    <w:rsid w:val="00212FDD"/>
    <w:rsid w:val="002172C8"/>
    <w:rsid w:val="00217EEC"/>
    <w:rsid w:val="002216D6"/>
    <w:rsid w:val="00226F33"/>
    <w:rsid w:val="00227AEA"/>
    <w:rsid w:val="002303B3"/>
    <w:rsid w:val="0023258E"/>
    <w:rsid w:val="00232D2A"/>
    <w:rsid w:val="00235096"/>
    <w:rsid w:val="002358DE"/>
    <w:rsid w:val="00235ACB"/>
    <w:rsid w:val="0023716A"/>
    <w:rsid w:val="00240B65"/>
    <w:rsid w:val="0024223F"/>
    <w:rsid w:val="002425D3"/>
    <w:rsid w:val="002429D5"/>
    <w:rsid w:val="00245345"/>
    <w:rsid w:val="00247B18"/>
    <w:rsid w:val="0025109A"/>
    <w:rsid w:val="002515F0"/>
    <w:rsid w:val="00254C19"/>
    <w:rsid w:val="0026379B"/>
    <w:rsid w:val="00264577"/>
    <w:rsid w:val="002646F4"/>
    <w:rsid w:val="00266162"/>
    <w:rsid w:val="00271C99"/>
    <w:rsid w:val="002751A6"/>
    <w:rsid w:val="00281C36"/>
    <w:rsid w:val="00286D03"/>
    <w:rsid w:val="00291E1A"/>
    <w:rsid w:val="0029307F"/>
    <w:rsid w:val="00293F41"/>
    <w:rsid w:val="002952D6"/>
    <w:rsid w:val="00295CA6"/>
    <w:rsid w:val="00296011"/>
    <w:rsid w:val="00297026"/>
    <w:rsid w:val="002A09CB"/>
    <w:rsid w:val="002A1C5B"/>
    <w:rsid w:val="002A790C"/>
    <w:rsid w:val="002B0FE2"/>
    <w:rsid w:val="002B26CB"/>
    <w:rsid w:val="002B3159"/>
    <w:rsid w:val="002B3415"/>
    <w:rsid w:val="002B35BB"/>
    <w:rsid w:val="002B748D"/>
    <w:rsid w:val="002C2C38"/>
    <w:rsid w:val="002C6C4F"/>
    <w:rsid w:val="002D159C"/>
    <w:rsid w:val="002D3FA2"/>
    <w:rsid w:val="002E0AA0"/>
    <w:rsid w:val="002E0D2F"/>
    <w:rsid w:val="002E21BB"/>
    <w:rsid w:val="002E63E5"/>
    <w:rsid w:val="002E662E"/>
    <w:rsid w:val="002F03A6"/>
    <w:rsid w:val="002F548C"/>
    <w:rsid w:val="00302442"/>
    <w:rsid w:val="00307E48"/>
    <w:rsid w:val="003102D2"/>
    <w:rsid w:val="00312005"/>
    <w:rsid w:val="00317722"/>
    <w:rsid w:val="003431D9"/>
    <w:rsid w:val="00344200"/>
    <w:rsid w:val="00346699"/>
    <w:rsid w:val="00350B20"/>
    <w:rsid w:val="00353B78"/>
    <w:rsid w:val="00372945"/>
    <w:rsid w:val="00374685"/>
    <w:rsid w:val="003751FB"/>
    <w:rsid w:val="00376833"/>
    <w:rsid w:val="003844A3"/>
    <w:rsid w:val="0038545C"/>
    <w:rsid w:val="00390B21"/>
    <w:rsid w:val="00395365"/>
    <w:rsid w:val="00397B00"/>
    <w:rsid w:val="003A1A57"/>
    <w:rsid w:val="003A35BF"/>
    <w:rsid w:val="003B0443"/>
    <w:rsid w:val="003B1E4B"/>
    <w:rsid w:val="003B3D17"/>
    <w:rsid w:val="003B6AE6"/>
    <w:rsid w:val="003C594A"/>
    <w:rsid w:val="003C747E"/>
    <w:rsid w:val="003D111A"/>
    <w:rsid w:val="003D23A0"/>
    <w:rsid w:val="003D520E"/>
    <w:rsid w:val="003E1B05"/>
    <w:rsid w:val="003E1D5C"/>
    <w:rsid w:val="003E40DC"/>
    <w:rsid w:val="003E52C0"/>
    <w:rsid w:val="003E5B4E"/>
    <w:rsid w:val="003E6068"/>
    <w:rsid w:val="003E709D"/>
    <w:rsid w:val="003E7927"/>
    <w:rsid w:val="003E7FA6"/>
    <w:rsid w:val="003F0914"/>
    <w:rsid w:val="003F0F57"/>
    <w:rsid w:val="003F48DE"/>
    <w:rsid w:val="003F615A"/>
    <w:rsid w:val="004033D6"/>
    <w:rsid w:val="00404E55"/>
    <w:rsid w:val="00412C0D"/>
    <w:rsid w:val="00425007"/>
    <w:rsid w:val="00430553"/>
    <w:rsid w:val="00432CD0"/>
    <w:rsid w:val="00435AE6"/>
    <w:rsid w:val="00442336"/>
    <w:rsid w:val="00443FEE"/>
    <w:rsid w:val="00446F66"/>
    <w:rsid w:val="00452701"/>
    <w:rsid w:val="004553EE"/>
    <w:rsid w:val="00455EDF"/>
    <w:rsid w:val="00457A43"/>
    <w:rsid w:val="004604BF"/>
    <w:rsid w:val="004615A2"/>
    <w:rsid w:val="00462A6A"/>
    <w:rsid w:val="0046412D"/>
    <w:rsid w:val="00465000"/>
    <w:rsid w:val="004656F9"/>
    <w:rsid w:val="00477255"/>
    <w:rsid w:val="00480066"/>
    <w:rsid w:val="004856E0"/>
    <w:rsid w:val="00486041"/>
    <w:rsid w:val="00496E2D"/>
    <w:rsid w:val="004A3521"/>
    <w:rsid w:val="004A4BC6"/>
    <w:rsid w:val="004A72BD"/>
    <w:rsid w:val="004B7301"/>
    <w:rsid w:val="004C0DF8"/>
    <w:rsid w:val="004C4FBC"/>
    <w:rsid w:val="004D0C54"/>
    <w:rsid w:val="004D0F84"/>
    <w:rsid w:val="004D1CF1"/>
    <w:rsid w:val="004D2441"/>
    <w:rsid w:val="004D5BDB"/>
    <w:rsid w:val="004D60F5"/>
    <w:rsid w:val="004D6C74"/>
    <w:rsid w:val="004D750B"/>
    <w:rsid w:val="004E5CC5"/>
    <w:rsid w:val="005006F5"/>
    <w:rsid w:val="00501868"/>
    <w:rsid w:val="00501D57"/>
    <w:rsid w:val="005035EC"/>
    <w:rsid w:val="00505285"/>
    <w:rsid w:val="00507520"/>
    <w:rsid w:val="00510434"/>
    <w:rsid w:val="00511821"/>
    <w:rsid w:val="005213CB"/>
    <w:rsid w:val="0052167D"/>
    <w:rsid w:val="00541233"/>
    <w:rsid w:val="00545232"/>
    <w:rsid w:val="005454AA"/>
    <w:rsid w:val="005454F7"/>
    <w:rsid w:val="00545D44"/>
    <w:rsid w:val="00547ACE"/>
    <w:rsid w:val="00556E7E"/>
    <w:rsid w:val="00562372"/>
    <w:rsid w:val="005627A1"/>
    <w:rsid w:val="00563EE4"/>
    <w:rsid w:val="00564B76"/>
    <w:rsid w:val="005654D8"/>
    <w:rsid w:val="00566294"/>
    <w:rsid w:val="005728F6"/>
    <w:rsid w:val="00573257"/>
    <w:rsid w:val="00574008"/>
    <w:rsid w:val="005751BA"/>
    <w:rsid w:val="00577CE8"/>
    <w:rsid w:val="00580E6A"/>
    <w:rsid w:val="005815F7"/>
    <w:rsid w:val="00582B63"/>
    <w:rsid w:val="00585C0E"/>
    <w:rsid w:val="00586F68"/>
    <w:rsid w:val="00587675"/>
    <w:rsid w:val="00595AA9"/>
    <w:rsid w:val="005964A7"/>
    <w:rsid w:val="005976B7"/>
    <w:rsid w:val="005A2CCD"/>
    <w:rsid w:val="005A5BD3"/>
    <w:rsid w:val="005A637A"/>
    <w:rsid w:val="005B7609"/>
    <w:rsid w:val="005B7E01"/>
    <w:rsid w:val="005C0A43"/>
    <w:rsid w:val="005D1909"/>
    <w:rsid w:val="005D1948"/>
    <w:rsid w:val="005D4719"/>
    <w:rsid w:val="005D7D02"/>
    <w:rsid w:val="005E14C3"/>
    <w:rsid w:val="005E4FBD"/>
    <w:rsid w:val="005F008E"/>
    <w:rsid w:val="005F2CBB"/>
    <w:rsid w:val="00600E2A"/>
    <w:rsid w:val="0061003A"/>
    <w:rsid w:val="00617B63"/>
    <w:rsid w:val="00622B78"/>
    <w:rsid w:val="00623EAE"/>
    <w:rsid w:val="00625508"/>
    <w:rsid w:val="00626ECB"/>
    <w:rsid w:val="00632544"/>
    <w:rsid w:val="00635CC5"/>
    <w:rsid w:val="00642D2A"/>
    <w:rsid w:val="00643746"/>
    <w:rsid w:val="006449BF"/>
    <w:rsid w:val="00645BCD"/>
    <w:rsid w:val="00646248"/>
    <w:rsid w:val="00651AAB"/>
    <w:rsid w:val="00652E57"/>
    <w:rsid w:val="00653495"/>
    <w:rsid w:val="00653D20"/>
    <w:rsid w:val="006550CC"/>
    <w:rsid w:val="0065767D"/>
    <w:rsid w:val="00663E4C"/>
    <w:rsid w:val="00666E87"/>
    <w:rsid w:val="00667DF1"/>
    <w:rsid w:val="00673958"/>
    <w:rsid w:val="00674CFF"/>
    <w:rsid w:val="006753E5"/>
    <w:rsid w:val="00677C08"/>
    <w:rsid w:val="006814DA"/>
    <w:rsid w:val="006834A6"/>
    <w:rsid w:val="0068367E"/>
    <w:rsid w:val="006836CF"/>
    <w:rsid w:val="00685C32"/>
    <w:rsid w:val="00686FC1"/>
    <w:rsid w:val="0069162D"/>
    <w:rsid w:val="0069229F"/>
    <w:rsid w:val="006932D6"/>
    <w:rsid w:val="006950BA"/>
    <w:rsid w:val="00695E6C"/>
    <w:rsid w:val="00696767"/>
    <w:rsid w:val="006973E7"/>
    <w:rsid w:val="006A1F87"/>
    <w:rsid w:val="006A758A"/>
    <w:rsid w:val="006B15D4"/>
    <w:rsid w:val="006B5178"/>
    <w:rsid w:val="006B72AB"/>
    <w:rsid w:val="006B77CD"/>
    <w:rsid w:val="006B7863"/>
    <w:rsid w:val="006D3940"/>
    <w:rsid w:val="006E0A3B"/>
    <w:rsid w:val="006E362C"/>
    <w:rsid w:val="006F038B"/>
    <w:rsid w:val="00702735"/>
    <w:rsid w:val="00705759"/>
    <w:rsid w:val="00705F86"/>
    <w:rsid w:val="007061AC"/>
    <w:rsid w:val="00712BBC"/>
    <w:rsid w:val="007151DC"/>
    <w:rsid w:val="007174D9"/>
    <w:rsid w:val="00722A9D"/>
    <w:rsid w:val="00726D67"/>
    <w:rsid w:val="00727E42"/>
    <w:rsid w:val="00732A83"/>
    <w:rsid w:val="00735A2C"/>
    <w:rsid w:val="00740BE8"/>
    <w:rsid w:val="00740F87"/>
    <w:rsid w:val="00740F8B"/>
    <w:rsid w:val="00750753"/>
    <w:rsid w:val="00751D2D"/>
    <w:rsid w:val="007577D7"/>
    <w:rsid w:val="00757D31"/>
    <w:rsid w:val="0076277C"/>
    <w:rsid w:val="00762FC7"/>
    <w:rsid w:val="00787B2B"/>
    <w:rsid w:val="00793C89"/>
    <w:rsid w:val="00796DBA"/>
    <w:rsid w:val="007A2E87"/>
    <w:rsid w:val="007B0C52"/>
    <w:rsid w:val="007B5032"/>
    <w:rsid w:val="007B589D"/>
    <w:rsid w:val="007B6FEE"/>
    <w:rsid w:val="007B7128"/>
    <w:rsid w:val="007C00D5"/>
    <w:rsid w:val="007C0E14"/>
    <w:rsid w:val="007C1E49"/>
    <w:rsid w:val="007C6648"/>
    <w:rsid w:val="007D7340"/>
    <w:rsid w:val="007E0685"/>
    <w:rsid w:val="007E1ED2"/>
    <w:rsid w:val="007E3ADE"/>
    <w:rsid w:val="007E6B18"/>
    <w:rsid w:val="007F13A2"/>
    <w:rsid w:val="007F1E1E"/>
    <w:rsid w:val="007F225C"/>
    <w:rsid w:val="007F356C"/>
    <w:rsid w:val="007F650F"/>
    <w:rsid w:val="0080073C"/>
    <w:rsid w:val="00806E6F"/>
    <w:rsid w:val="008135A2"/>
    <w:rsid w:val="008325D0"/>
    <w:rsid w:val="008335DA"/>
    <w:rsid w:val="00833819"/>
    <w:rsid w:val="008403B3"/>
    <w:rsid w:val="008410B1"/>
    <w:rsid w:val="008419AC"/>
    <w:rsid w:val="00856955"/>
    <w:rsid w:val="00856A51"/>
    <w:rsid w:val="00862B0A"/>
    <w:rsid w:val="008635F8"/>
    <w:rsid w:val="00863F7F"/>
    <w:rsid w:val="00870A58"/>
    <w:rsid w:val="0087253C"/>
    <w:rsid w:val="0087254E"/>
    <w:rsid w:val="00873C9C"/>
    <w:rsid w:val="00880703"/>
    <w:rsid w:val="008839B5"/>
    <w:rsid w:val="00884384"/>
    <w:rsid w:val="00885E53"/>
    <w:rsid w:val="00886A62"/>
    <w:rsid w:val="00890F71"/>
    <w:rsid w:val="008945DF"/>
    <w:rsid w:val="00895C96"/>
    <w:rsid w:val="008A44F2"/>
    <w:rsid w:val="008B08CA"/>
    <w:rsid w:val="008B1EE5"/>
    <w:rsid w:val="008B402E"/>
    <w:rsid w:val="008B6368"/>
    <w:rsid w:val="008C59FE"/>
    <w:rsid w:val="008D25A6"/>
    <w:rsid w:val="008D7F35"/>
    <w:rsid w:val="008E1E9C"/>
    <w:rsid w:val="008E2BCE"/>
    <w:rsid w:val="008E3862"/>
    <w:rsid w:val="008E53A6"/>
    <w:rsid w:val="008E63A6"/>
    <w:rsid w:val="008F4391"/>
    <w:rsid w:val="008F62F5"/>
    <w:rsid w:val="00903414"/>
    <w:rsid w:val="0090377A"/>
    <w:rsid w:val="00906158"/>
    <w:rsid w:val="00914004"/>
    <w:rsid w:val="00914B9D"/>
    <w:rsid w:val="0091565F"/>
    <w:rsid w:val="0092438A"/>
    <w:rsid w:val="00924AD8"/>
    <w:rsid w:val="00930B9B"/>
    <w:rsid w:val="00932200"/>
    <w:rsid w:val="009326EB"/>
    <w:rsid w:val="009377BA"/>
    <w:rsid w:val="00937AA3"/>
    <w:rsid w:val="0094049A"/>
    <w:rsid w:val="00940949"/>
    <w:rsid w:val="00940B31"/>
    <w:rsid w:val="00944D8A"/>
    <w:rsid w:val="00945294"/>
    <w:rsid w:val="00951CAA"/>
    <w:rsid w:val="009579F1"/>
    <w:rsid w:val="009628E9"/>
    <w:rsid w:val="00962A2D"/>
    <w:rsid w:val="00963327"/>
    <w:rsid w:val="00965916"/>
    <w:rsid w:val="00967367"/>
    <w:rsid w:val="00967944"/>
    <w:rsid w:val="00973073"/>
    <w:rsid w:val="00974D76"/>
    <w:rsid w:val="00975092"/>
    <w:rsid w:val="00975AAE"/>
    <w:rsid w:val="00977261"/>
    <w:rsid w:val="00977881"/>
    <w:rsid w:val="00980936"/>
    <w:rsid w:val="009875E7"/>
    <w:rsid w:val="00994B5A"/>
    <w:rsid w:val="0099520E"/>
    <w:rsid w:val="009A1D11"/>
    <w:rsid w:val="009A2A02"/>
    <w:rsid w:val="009A37CD"/>
    <w:rsid w:val="009A78B6"/>
    <w:rsid w:val="009B169D"/>
    <w:rsid w:val="009B172F"/>
    <w:rsid w:val="009B54C3"/>
    <w:rsid w:val="009C2CFE"/>
    <w:rsid w:val="009C5360"/>
    <w:rsid w:val="009D7B94"/>
    <w:rsid w:val="009E3C94"/>
    <w:rsid w:val="009F0C16"/>
    <w:rsid w:val="009F215D"/>
    <w:rsid w:val="009F789C"/>
    <w:rsid w:val="00A06B0B"/>
    <w:rsid w:val="00A11169"/>
    <w:rsid w:val="00A12D94"/>
    <w:rsid w:val="00A14724"/>
    <w:rsid w:val="00A15ECE"/>
    <w:rsid w:val="00A17934"/>
    <w:rsid w:val="00A268F4"/>
    <w:rsid w:val="00A269CE"/>
    <w:rsid w:val="00A33159"/>
    <w:rsid w:val="00A3642E"/>
    <w:rsid w:val="00A37C39"/>
    <w:rsid w:val="00A40034"/>
    <w:rsid w:val="00A42F43"/>
    <w:rsid w:val="00A43296"/>
    <w:rsid w:val="00A447E1"/>
    <w:rsid w:val="00A452B7"/>
    <w:rsid w:val="00A519DA"/>
    <w:rsid w:val="00A52FEC"/>
    <w:rsid w:val="00A56EFF"/>
    <w:rsid w:val="00A61327"/>
    <w:rsid w:val="00A6138D"/>
    <w:rsid w:val="00A619A0"/>
    <w:rsid w:val="00A6674D"/>
    <w:rsid w:val="00A73611"/>
    <w:rsid w:val="00A73614"/>
    <w:rsid w:val="00A736FC"/>
    <w:rsid w:val="00A76AC0"/>
    <w:rsid w:val="00A83E56"/>
    <w:rsid w:val="00A84745"/>
    <w:rsid w:val="00A9467B"/>
    <w:rsid w:val="00A96AB7"/>
    <w:rsid w:val="00A979AA"/>
    <w:rsid w:val="00AA1B77"/>
    <w:rsid w:val="00AA5E2D"/>
    <w:rsid w:val="00AB2B2B"/>
    <w:rsid w:val="00AB35B3"/>
    <w:rsid w:val="00AC2855"/>
    <w:rsid w:val="00AD2646"/>
    <w:rsid w:val="00AE31C1"/>
    <w:rsid w:val="00AE4EDD"/>
    <w:rsid w:val="00AE6184"/>
    <w:rsid w:val="00AE7918"/>
    <w:rsid w:val="00AF2E9C"/>
    <w:rsid w:val="00B0447A"/>
    <w:rsid w:val="00B0587D"/>
    <w:rsid w:val="00B06665"/>
    <w:rsid w:val="00B15A7F"/>
    <w:rsid w:val="00B1663C"/>
    <w:rsid w:val="00B30C9A"/>
    <w:rsid w:val="00B3326E"/>
    <w:rsid w:val="00B34879"/>
    <w:rsid w:val="00B34A2A"/>
    <w:rsid w:val="00B43BA5"/>
    <w:rsid w:val="00B511EC"/>
    <w:rsid w:val="00B529BB"/>
    <w:rsid w:val="00B53057"/>
    <w:rsid w:val="00B55513"/>
    <w:rsid w:val="00B577EC"/>
    <w:rsid w:val="00B607DF"/>
    <w:rsid w:val="00B678B6"/>
    <w:rsid w:val="00B70838"/>
    <w:rsid w:val="00B73877"/>
    <w:rsid w:val="00B760C2"/>
    <w:rsid w:val="00B800FF"/>
    <w:rsid w:val="00B825FD"/>
    <w:rsid w:val="00B8608F"/>
    <w:rsid w:val="00B91562"/>
    <w:rsid w:val="00B91A4F"/>
    <w:rsid w:val="00BA5D9F"/>
    <w:rsid w:val="00BB2E09"/>
    <w:rsid w:val="00BB4283"/>
    <w:rsid w:val="00BB601D"/>
    <w:rsid w:val="00BC4200"/>
    <w:rsid w:val="00BD0008"/>
    <w:rsid w:val="00BD075F"/>
    <w:rsid w:val="00BD0FF0"/>
    <w:rsid w:val="00BF0820"/>
    <w:rsid w:val="00BF1C43"/>
    <w:rsid w:val="00BF1F61"/>
    <w:rsid w:val="00C0004C"/>
    <w:rsid w:val="00C02C80"/>
    <w:rsid w:val="00C21B19"/>
    <w:rsid w:val="00C26A3C"/>
    <w:rsid w:val="00C27941"/>
    <w:rsid w:val="00C43D6E"/>
    <w:rsid w:val="00C62A39"/>
    <w:rsid w:val="00C6316C"/>
    <w:rsid w:val="00C648AF"/>
    <w:rsid w:val="00C66D22"/>
    <w:rsid w:val="00C70462"/>
    <w:rsid w:val="00C736E1"/>
    <w:rsid w:val="00C73B98"/>
    <w:rsid w:val="00C80192"/>
    <w:rsid w:val="00C83E8F"/>
    <w:rsid w:val="00C845DC"/>
    <w:rsid w:val="00C94F56"/>
    <w:rsid w:val="00C96AFB"/>
    <w:rsid w:val="00CA07AD"/>
    <w:rsid w:val="00CA45F2"/>
    <w:rsid w:val="00CA4B1F"/>
    <w:rsid w:val="00CA684F"/>
    <w:rsid w:val="00CA72E1"/>
    <w:rsid w:val="00CB5582"/>
    <w:rsid w:val="00CB6582"/>
    <w:rsid w:val="00CC319F"/>
    <w:rsid w:val="00CC3A01"/>
    <w:rsid w:val="00CC6509"/>
    <w:rsid w:val="00CC7009"/>
    <w:rsid w:val="00CC711C"/>
    <w:rsid w:val="00CD3786"/>
    <w:rsid w:val="00CD7B33"/>
    <w:rsid w:val="00CE6C48"/>
    <w:rsid w:val="00CE7894"/>
    <w:rsid w:val="00CF3256"/>
    <w:rsid w:val="00CF430F"/>
    <w:rsid w:val="00CF5772"/>
    <w:rsid w:val="00CF79BC"/>
    <w:rsid w:val="00D02F61"/>
    <w:rsid w:val="00D04907"/>
    <w:rsid w:val="00D1275C"/>
    <w:rsid w:val="00D1352A"/>
    <w:rsid w:val="00D14F3B"/>
    <w:rsid w:val="00D205EE"/>
    <w:rsid w:val="00D212A8"/>
    <w:rsid w:val="00D2253C"/>
    <w:rsid w:val="00D25ECD"/>
    <w:rsid w:val="00D30C0A"/>
    <w:rsid w:val="00D32C6C"/>
    <w:rsid w:val="00D37B57"/>
    <w:rsid w:val="00D37D1A"/>
    <w:rsid w:val="00D4153B"/>
    <w:rsid w:val="00D44BCB"/>
    <w:rsid w:val="00D44C32"/>
    <w:rsid w:val="00D459E6"/>
    <w:rsid w:val="00D4638A"/>
    <w:rsid w:val="00D5013F"/>
    <w:rsid w:val="00D52188"/>
    <w:rsid w:val="00D66506"/>
    <w:rsid w:val="00D66A00"/>
    <w:rsid w:val="00D66E12"/>
    <w:rsid w:val="00D72FEA"/>
    <w:rsid w:val="00D77EDD"/>
    <w:rsid w:val="00D814FE"/>
    <w:rsid w:val="00D924EE"/>
    <w:rsid w:val="00D92B91"/>
    <w:rsid w:val="00D93B2A"/>
    <w:rsid w:val="00D96517"/>
    <w:rsid w:val="00DB20EE"/>
    <w:rsid w:val="00DB22CD"/>
    <w:rsid w:val="00DB2E45"/>
    <w:rsid w:val="00DB5B64"/>
    <w:rsid w:val="00DB7645"/>
    <w:rsid w:val="00DC2605"/>
    <w:rsid w:val="00DD1A2D"/>
    <w:rsid w:val="00DE11F7"/>
    <w:rsid w:val="00DE65A3"/>
    <w:rsid w:val="00DF009D"/>
    <w:rsid w:val="00DF0E02"/>
    <w:rsid w:val="00DF28BD"/>
    <w:rsid w:val="00DF4649"/>
    <w:rsid w:val="00DF60F9"/>
    <w:rsid w:val="00E041FE"/>
    <w:rsid w:val="00E044DF"/>
    <w:rsid w:val="00E055F3"/>
    <w:rsid w:val="00E05BAE"/>
    <w:rsid w:val="00E179E3"/>
    <w:rsid w:val="00E21929"/>
    <w:rsid w:val="00E262DD"/>
    <w:rsid w:val="00E26581"/>
    <w:rsid w:val="00E31564"/>
    <w:rsid w:val="00E31B86"/>
    <w:rsid w:val="00E375FD"/>
    <w:rsid w:val="00E40275"/>
    <w:rsid w:val="00E47B2F"/>
    <w:rsid w:val="00E539C1"/>
    <w:rsid w:val="00E5444D"/>
    <w:rsid w:val="00E57E3D"/>
    <w:rsid w:val="00E616FC"/>
    <w:rsid w:val="00E61FA7"/>
    <w:rsid w:val="00E7348D"/>
    <w:rsid w:val="00E7507D"/>
    <w:rsid w:val="00E7652A"/>
    <w:rsid w:val="00E7653E"/>
    <w:rsid w:val="00E863BE"/>
    <w:rsid w:val="00E8653A"/>
    <w:rsid w:val="00E931CC"/>
    <w:rsid w:val="00E935B5"/>
    <w:rsid w:val="00E94A7F"/>
    <w:rsid w:val="00E95EC0"/>
    <w:rsid w:val="00EA17E8"/>
    <w:rsid w:val="00EB186C"/>
    <w:rsid w:val="00EB51B0"/>
    <w:rsid w:val="00EC16A2"/>
    <w:rsid w:val="00EC2A59"/>
    <w:rsid w:val="00EC45F3"/>
    <w:rsid w:val="00EC6131"/>
    <w:rsid w:val="00EC7871"/>
    <w:rsid w:val="00EC7C31"/>
    <w:rsid w:val="00ED254C"/>
    <w:rsid w:val="00ED55A3"/>
    <w:rsid w:val="00ED5E2C"/>
    <w:rsid w:val="00ED6CAA"/>
    <w:rsid w:val="00EE12C0"/>
    <w:rsid w:val="00EE2104"/>
    <w:rsid w:val="00EE6EAB"/>
    <w:rsid w:val="00EF1FF3"/>
    <w:rsid w:val="00EF2271"/>
    <w:rsid w:val="00EF2C31"/>
    <w:rsid w:val="00F017B6"/>
    <w:rsid w:val="00F02C11"/>
    <w:rsid w:val="00F05671"/>
    <w:rsid w:val="00F074B2"/>
    <w:rsid w:val="00F10A7A"/>
    <w:rsid w:val="00F10A91"/>
    <w:rsid w:val="00F1393D"/>
    <w:rsid w:val="00F1547E"/>
    <w:rsid w:val="00F2155C"/>
    <w:rsid w:val="00F25744"/>
    <w:rsid w:val="00F26448"/>
    <w:rsid w:val="00F30D72"/>
    <w:rsid w:val="00F347DB"/>
    <w:rsid w:val="00F40CB4"/>
    <w:rsid w:val="00F43A03"/>
    <w:rsid w:val="00F463A1"/>
    <w:rsid w:val="00F4707D"/>
    <w:rsid w:val="00F535F4"/>
    <w:rsid w:val="00F540C4"/>
    <w:rsid w:val="00F56541"/>
    <w:rsid w:val="00F61F18"/>
    <w:rsid w:val="00F65EB3"/>
    <w:rsid w:val="00F66273"/>
    <w:rsid w:val="00F76EC2"/>
    <w:rsid w:val="00F8104D"/>
    <w:rsid w:val="00F86311"/>
    <w:rsid w:val="00F921C6"/>
    <w:rsid w:val="00F930C6"/>
    <w:rsid w:val="00FA3EC0"/>
    <w:rsid w:val="00FB6B21"/>
    <w:rsid w:val="00FB70B1"/>
    <w:rsid w:val="00FB7435"/>
    <w:rsid w:val="00FB7AA9"/>
    <w:rsid w:val="00FC163E"/>
    <w:rsid w:val="00FC2D4E"/>
    <w:rsid w:val="00FD3F57"/>
    <w:rsid w:val="00FE1727"/>
    <w:rsid w:val="00FE5BAA"/>
    <w:rsid w:val="00FE7C26"/>
    <w:rsid w:val="00FF10F8"/>
    <w:rsid w:val="00FF552C"/>
    <w:rsid w:val="00FF6584"/>
    <w:rsid w:val="00FF77F6"/>
    <w:rsid w:val="00FF7B1D"/>
    <w:rsid w:val="01F85F2F"/>
    <w:rsid w:val="028721DE"/>
    <w:rsid w:val="0AF16419"/>
    <w:rsid w:val="0CAE1290"/>
    <w:rsid w:val="0F1B77E8"/>
    <w:rsid w:val="11BB1799"/>
    <w:rsid w:val="1210149D"/>
    <w:rsid w:val="12684DC9"/>
    <w:rsid w:val="1E9E1E63"/>
    <w:rsid w:val="1F846DA3"/>
    <w:rsid w:val="21CD6418"/>
    <w:rsid w:val="294B58C2"/>
    <w:rsid w:val="2B2223BC"/>
    <w:rsid w:val="38E1766E"/>
    <w:rsid w:val="399D69C5"/>
    <w:rsid w:val="3B6A2AE8"/>
    <w:rsid w:val="3C7B1143"/>
    <w:rsid w:val="3D244898"/>
    <w:rsid w:val="43D36153"/>
    <w:rsid w:val="4AA20B5D"/>
    <w:rsid w:val="4BA62691"/>
    <w:rsid w:val="4E856FDC"/>
    <w:rsid w:val="540771F5"/>
    <w:rsid w:val="5B9A7048"/>
    <w:rsid w:val="5BC27E27"/>
    <w:rsid w:val="6A2216FE"/>
    <w:rsid w:val="77AE5334"/>
    <w:rsid w:val="7A280CA9"/>
    <w:rsid w:val="7AB510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0"/>
    <w:unhideWhenUsed/>
    <w:qFormat/>
    <w:uiPriority w:val="99"/>
    <w:pPr>
      <w:tabs>
        <w:tab w:val="center" w:pos="4153"/>
        <w:tab w:val="right" w:pos="8306"/>
      </w:tabs>
      <w:snapToGrid w:val="0"/>
      <w:jc w:val="left"/>
    </w:pPr>
    <w:rPr>
      <w:sz w:val="18"/>
      <w:szCs w:val="18"/>
    </w:rPr>
  </w:style>
  <w:style w:type="paragraph" w:styleId="3">
    <w:name w:val="header"/>
    <w:basedOn w:val="1"/>
    <w:link w:val="11"/>
    <w:unhideWhenUsed/>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uiPriority w:val="99"/>
    <w:pPr>
      <w:widowControl/>
      <w:spacing w:before="100" w:beforeAutospacing="1" w:after="100" w:afterAutospacing="1"/>
      <w:jc w:val="left"/>
    </w:pPr>
    <w:rPr>
      <w:rFonts w:ascii="宋体" w:hAnsi="宋体" w:cs="宋体"/>
      <w:kern w:val="0"/>
      <w:sz w:val="24"/>
    </w:rPr>
  </w:style>
  <w:style w:type="character" w:styleId="7">
    <w:name w:val="Strong"/>
    <w:basedOn w:val="6"/>
    <w:qFormat/>
    <w:uiPriority w:val="0"/>
    <w:rPr>
      <w:b/>
    </w:rPr>
  </w:style>
  <w:style w:type="character" w:styleId="8">
    <w:name w:val="Emphasis"/>
    <w:basedOn w:val="6"/>
    <w:qFormat/>
    <w:uiPriority w:val="20"/>
    <w:rPr>
      <w:i/>
      <w:iCs/>
    </w:rPr>
  </w:style>
  <w:style w:type="paragraph" w:styleId="9">
    <w:name w:val="List Paragraph"/>
    <w:basedOn w:val="1"/>
    <w:qFormat/>
    <w:uiPriority w:val="34"/>
    <w:pPr>
      <w:ind w:firstLine="420" w:firstLineChars="200"/>
    </w:pPr>
  </w:style>
  <w:style w:type="character" w:customStyle="1" w:styleId="10">
    <w:name w:val="页脚 Char"/>
    <w:basedOn w:val="6"/>
    <w:link w:val="2"/>
    <w:semiHidden/>
    <w:qFormat/>
    <w:uiPriority w:val="99"/>
    <w:rPr>
      <w:kern w:val="2"/>
      <w:sz w:val="18"/>
      <w:szCs w:val="18"/>
    </w:rPr>
  </w:style>
  <w:style w:type="character" w:customStyle="1" w:styleId="11">
    <w:name w:val="页眉 Char"/>
    <w:basedOn w:val="6"/>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3188</Words>
  <Characters>3434</Characters>
  <Lines>23</Lines>
  <Paragraphs>6</Paragraphs>
  <TotalTime>1</TotalTime>
  <ScaleCrop>false</ScaleCrop>
  <LinksUpToDate>false</LinksUpToDate>
  <CharactersWithSpaces>3442</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2017-10-24T08:36:00Z</dcterms:created>
  <dc:creator>Administrator</dc:creator>
  <cp:lastModifiedBy>a</cp:lastModifiedBy>
  <cp:lastPrinted>2021-01-13T02:36:00Z</cp:lastPrinted>
  <dcterms:modified xsi:type="dcterms:W3CDTF">2023-08-03T01:49:05Z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9A40E3D85C824255BA9437D5FDD6B9EA_13</vt:lpwstr>
  </property>
</Properties>
</file>