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EDD80">
      <w:pPr>
        <w:jc w:val="center"/>
        <w:rPr>
          <w:rFonts w:hint="eastAsia"/>
          <w:b/>
          <w:sz w:val="44"/>
          <w:szCs w:val="44"/>
          <w:lang w:eastAsia="zh-CN"/>
        </w:rPr>
      </w:pPr>
      <w:bookmarkStart w:id="0" w:name="_GoBack"/>
    </w:p>
    <w:p w14:paraId="2E723DD8">
      <w:pPr>
        <w:jc w:val="center"/>
        <w:rPr>
          <w:rFonts w:hint="eastAsia"/>
          <w:b/>
          <w:sz w:val="44"/>
          <w:szCs w:val="44"/>
          <w:lang w:eastAsia="zh-CN"/>
        </w:rPr>
      </w:pPr>
      <w:r>
        <w:rPr>
          <w:rFonts w:hint="eastAsia"/>
          <w:b/>
          <w:sz w:val="44"/>
          <w:szCs w:val="44"/>
          <w:lang w:eastAsia="zh-CN"/>
        </w:rPr>
        <w:t>康平县海洲窝堡乡人民政府</w:t>
      </w:r>
    </w:p>
    <w:p w14:paraId="0618A915">
      <w:pPr>
        <w:jc w:val="center"/>
        <w:rPr>
          <w:rFonts w:hint="eastAsia"/>
          <w:b/>
          <w:sz w:val="44"/>
          <w:szCs w:val="44"/>
          <w:lang w:eastAsia="zh-CN"/>
        </w:rPr>
      </w:pPr>
      <w:r>
        <w:rPr>
          <w:rFonts w:hint="eastAsia"/>
          <w:b/>
          <w:sz w:val="44"/>
          <w:szCs w:val="44"/>
          <w:lang w:val="en-US" w:eastAsia="zh-CN"/>
        </w:rPr>
        <w:t>2022</w:t>
      </w:r>
      <w:r>
        <w:rPr>
          <w:rFonts w:hint="eastAsia"/>
          <w:b/>
          <w:sz w:val="44"/>
          <w:szCs w:val="44"/>
        </w:rPr>
        <w:t>年</w:t>
      </w:r>
      <w:r>
        <w:rPr>
          <w:rFonts w:hint="eastAsia"/>
          <w:b/>
          <w:sz w:val="44"/>
          <w:szCs w:val="44"/>
          <w:lang w:val="en-US" w:eastAsia="zh-CN"/>
        </w:rPr>
        <w:t xml:space="preserve"> </w:t>
      </w:r>
      <w:r>
        <w:rPr>
          <w:rFonts w:hint="eastAsia"/>
          <w:b/>
          <w:sz w:val="44"/>
          <w:szCs w:val="44"/>
        </w:rPr>
        <w:t>预算公开说明</w:t>
      </w:r>
    </w:p>
    <w:bookmarkEnd w:id="0"/>
    <w:p w14:paraId="328B3C51">
      <w:pPr>
        <w:jc w:val="center"/>
        <w:rPr>
          <w:rFonts w:hint="eastAsia"/>
          <w:b/>
          <w:sz w:val="44"/>
          <w:szCs w:val="44"/>
          <w:lang w:eastAsia="zh-CN"/>
        </w:rPr>
      </w:pPr>
    </w:p>
    <w:p w14:paraId="6547FFBF">
      <w:pPr>
        <w:jc w:val="center"/>
        <w:rPr>
          <w:rFonts w:hint="eastAsia"/>
          <w:b/>
          <w:sz w:val="44"/>
          <w:szCs w:val="44"/>
          <w:lang w:eastAsia="zh-CN"/>
        </w:rPr>
      </w:pPr>
    </w:p>
    <w:p w14:paraId="71108748">
      <w:pPr>
        <w:jc w:val="center"/>
        <w:rPr>
          <w:rFonts w:hint="eastAsia"/>
          <w:b/>
          <w:sz w:val="44"/>
          <w:szCs w:val="44"/>
          <w:lang w:eastAsia="zh-CN"/>
        </w:rPr>
      </w:pPr>
    </w:p>
    <w:p w14:paraId="429D2AD5">
      <w:pPr>
        <w:jc w:val="center"/>
        <w:rPr>
          <w:rFonts w:hint="eastAsia"/>
          <w:b/>
          <w:sz w:val="44"/>
          <w:szCs w:val="44"/>
          <w:lang w:eastAsia="zh-CN"/>
        </w:rPr>
      </w:pPr>
    </w:p>
    <w:p w14:paraId="4147EC8B">
      <w:pPr>
        <w:jc w:val="center"/>
        <w:rPr>
          <w:rFonts w:hint="eastAsia"/>
          <w:b/>
          <w:sz w:val="44"/>
          <w:szCs w:val="44"/>
          <w:lang w:eastAsia="zh-CN"/>
        </w:rPr>
      </w:pPr>
    </w:p>
    <w:p w14:paraId="3521108D">
      <w:pPr>
        <w:jc w:val="center"/>
        <w:rPr>
          <w:rFonts w:hint="eastAsia"/>
          <w:b/>
          <w:sz w:val="44"/>
          <w:szCs w:val="44"/>
          <w:lang w:eastAsia="zh-CN"/>
        </w:rPr>
      </w:pPr>
    </w:p>
    <w:p w14:paraId="1F558E32">
      <w:pPr>
        <w:jc w:val="center"/>
        <w:rPr>
          <w:rFonts w:hint="eastAsia"/>
          <w:b/>
          <w:sz w:val="44"/>
          <w:szCs w:val="44"/>
          <w:lang w:eastAsia="zh-CN"/>
        </w:rPr>
      </w:pPr>
    </w:p>
    <w:p w14:paraId="0D4E7FBA">
      <w:pPr>
        <w:jc w:val="center"/>
        <w:rPr>
          <w:rFonts w:hint="eastAsia"/>
          <w:b/>
          <w:sz w:val="44"/>
          <w:szCs w:val="44"/>
          <w:lang w:eastAsia="zh-CN"/>
        </w:rPr>
      </w:pPr>
    </w:p>
    <w:p w14:paraId="7EE5C529">
      <w:pPr>
        <w:jc w:val="center"/>
        <w:rPr>
          <w:rFonts w:hint="eastAsia"/>
          <w:b/>
          <w:sz w:val="44"/>
          <w:szCs w:val="44"/>
          <w:lang w:eastAsia="zh-CN"/>
        </w:rPr>
      </w:pPr>
    </w:p>
    <w:p w14:paraId="342AAEA9">
      <w:pPr>
        <w:jc w:val="center"/>
        <w:rPr>
          <w:rFonts w:hint="eastAsia"/>
          <w:b/>
          <w:sz w:val="44"/>
          <w:szCs w:val="44"/>
          <w:lang w:eastAsia="zh-CN"/>
        </w:rPr>
      </w:pPr>
    </w:p>
    <w:p w14:paraId="3D37472E">
      <w:pPr>
        <w:jc w:val="center"/>
        <w:rPr>
          <w:rFonts w:hint="eastAsia"/>
          <w:b/>
          <w:sz w:val="44"/>
          <w:szCs w:val="44"/>
          <w:lang w:eastAsia="zh-CN"/>
        </w:rPr>
      </w:pPr>
    </w:p>
    <w:p w14:paraId="4C4F5687">
      <w:pPr>
        <w:jc w:val="center"/>
        <w:rPr>
          <w:rFonts w:hint="eastAsia"/>
          <w:b/>
          <w:sz w:val="44"/>
          <w:szCs w:val="44"/>
          <w:lang w:eastAsia="zh-CN"/>
        </w:rPr>
      </w:pPr>
    </w:p>
    <w:p w14:paraId="28DB6244">
      <w:pPr>
        <w:jc w:val="center"/>
        <w:rPr>
          <w:rFonts w:hint="eastAsia"/>
          <w:b/>
          <w:sz w:val="44"/>
          <w:szCs w:val="44"/>
          <w:lang w:eastAsia="zh-CN"/>
        </w:rPr>
      </w:pPr>
    </w:p>
    <w:p w14:paraId="0B67FBED">
      <w:pPr>
        <w:jc w:val="center"/>
        <w:rPr>
          <w:rFonts w:hint="eastAsia"/>
          <w:b/>
          <w:sz w:val="44"/>
          <w:szCs w:val="44"/>
          <w:lang w:eastAsia="zh-CN"/>
        </w:rPr>
      </w:pPr>
    </w:p>
    <w:p w14:paraId="790A02A8">
      <w:pPr>
        <w:jc w:val="center"/>
        <w:rPr>
          <w:rFonts w:hint="eastAsia"/>
          <w:b/>
          <w:sz w:val="44"/>
          <w:szCs w:val="44"/>
          <w:lang w:eastAsia="zh-CN"/>
        </w:rPr>
      </w:pPr>
    </w:p>
    <w:p w14:paraId="7897609B">
      <w:pPr>
        <w:jc w:val="center"/>
        <w:rPr>
          <w:rFonts w:hint="eastAsia"/>
          <w:b/>
          <w:sz w:val="44"/>
          <w:szCs w:val="44"/>
          <w:lang w:eastAsia="zh-CN"/>
        </w:rPr>
      </w:pPr>
    </w:p>
    <w:p w14:paraId="6A35A688">
      <w:pPr>
        <w:jc w:val="center"/>
        <w:rPr>
          <w:rFonts w:hint="eastAsia"/>
          <w:b/>
          <w:sz w:val="44"/>
          <w:szCs w:val="44"/>
          <w:lang w:eastAsia="zh-CN"/>
        </w:rPr>
      </w:pPr>
    </w:p>
    <w:p w14:paraId="6C05271F">
      <w:pPr>
        <w:jc w:val="center"/>
        <w:rPr>
          <w:rFonts w:hint="eastAsia"/>
          <w:b/>
          <w:sz w:val="44"/>
          <w:szCs w:val="44"/>
          <w:lang w:eastAsia="zh-CN"/>
        </w:rPr>
      </w:pPr>
    </w:p>
    <w:p w14:paraId="58DD9BB7">
      <w:pPr>
        <w:jc w:val="center"/>
        <w:rPr>
          <w:rFonts w:hint="eastAsia"/>
          <w:b/>
          <w:sz w:val="44"/>
          <w:szCs w:val="44"/>
          <w:lang w:eastAsia="zh-CN"/>
        </w:rPr>
      </w:pPr>
    </w:p>
    <w:p w14:paraId="33B65BAE">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kern w:val="2"/>
          <w:sz w:val="44"/>
          <w:szCs w:val="44"/>
          <w:highlight w:val="none"/>
        </w:rPr>
      </w:pPr>
      <w:r>
        <w:rPr>
          <w:rFonts w:hint="eastAsia" w:ascii="宋体" w:hAnsi="宋体" w:eastAsia="宋体" w:cs="宋体"/>
          <w:b/>
          <w:bCs w:val="0"/>
          <w:kern w:val="2"/>
          <w:sz w:val="44"/>
          <w:szCs w:val="44"/>
          <w:highlight w:val="none"/>
          <w:lang w:val="en-US" w:eastAsia="zh-CN" w:bidi="ar"/>
        </w:rPr>
        <w:t>目    录</w:t>
      </w:r>
    </w:p>
    <w:p w14:paraId="5569F7B5">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kern w:val="2"/>
          <w:sz w:val="44"/>
          <w:szCs w:val="44"/>
          <w:highlight w:val="none"/>
          <w:lang w:val="en-US" w:eastAsia="zh-CN" w:bidi="ar"/>
        </w:rPr>
      </w:pPr>
    </w:p>
    <w:p w14:paraId="6FF9F6F4">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kern w:val="2"/>
          <w:sz w:val="44"/>
          <w:szCs w:val="44"/>
          <w:highlight w:val="none"/>
        </w:rPr>
      </w:pPr>
      <w:r>
        <w:rPr>
          <w:rFonts w:hint="eastAsia" w:ascii="宋体" w:hAnsi="宋体" w:eastAsia="宋体" w:cs="宋体"/>
          <w:b/>
          <w:bCs w:val="0"/>
          <w:kern w:val="2"/>
          <w:sz w:val="44"/>
          <w:szCs w:val="44"/>
          <w:highlight w:val="none"/>
          <w:lang w:val="en-US" w:eastAsia="zh-CN" w:bidi="ar"/>
        </w:rPr>
        <w:t xml:space="preserve"> </w:t>
      </w:r>
    </w:p>
    <w:p w14:paraId="58BEEBB9">
      <w:pPr>
        <w:pStyle w:val="8"/>
        <w:numPr>
          <w:ilvl w:val="0"/>
          <w:numId w:val="0"/>
        </w:numPr>
        <w:rPr>
          <w:rFonts w:hint="eastAsia" w:ascii="黑体" w:hAnsi="黑体" w:eastAsia="黑体" w:cs="黑体"/>
          <w:b w:val="0"/>
          <w:bCs/>
          <w:sz w:val="32"/>
          <w:szCs w:val="32"/>
          <w:highlight w:val="none"/>
        </w:rPr>
      </w:pPr>
      <w:r>
        <w:rPr>
          <w:rFonts w:hint="eastAsia" w:ascii="黑体" w:hAnsi="黑体" w:eastAsia="黑体" w:cs="黑体"/>
          <w:kern w:val="2"/>
          <w:sz w:val="32"/>
          <w:szCs w:val="32"/>
          <w:highlight w:val="none"/>
          <w:lang w:val="en-US" w:eastAsia="zh-CN" w:bidi="ar"/>
        </w:rPr>
        <w:t>一、</w:t>
      </w:r>
      <w:r>
        <w:rPr>
          <w:rFonts w:hint="eastAsia" w:ascii="黑体" w:hAnsi="黑体" w:eastAsia="黑体" w:cs="黑体"/>
          <w:b w:val="0"/>
          <w:bCs/>
          <w:sz w:val="32"/>
          <w:szCs w:val="32"/>
          <w:highlight w:val="none"/>
        </w:rPr>
        <w:t>部门主要职责及机构设置情况</w:t>
      </w:r>
    </w:p>
    <w:p w14:paraId="57880D5F">
      <w:pPr>
        <w:keepNext w:val="0"/>
        <w:keepLines w:val="0"/>
        <w:widowControl w:val="0"/>
        <w:suppressLineNumbers w:val="0"/>
        <w:spacing w:before="0" w:beforeAutospacing="0" w:after="0" w:afterAutospacing="0"/>
        <w:ind w:left="0" w:right="0"/>
        <w:jc w:val="both"/>
        <w:rPr>
          <w:rFonts w:hint="eastAsia" w:ascii="黑体" w:hAnsi="黑体" w:eastAsia="黑体" w:cs="黑体"/>
          <w:b w:val="0"/>
          <w:bCs/>
          <w:kern w:val="2"/>
          <w:sz w:val="32"/>
          <w:szCs w:val="32"/>
          <w:highlight w:val="none"/>
        </w:rPr>
      </w:pPr>
      <w:r>
        <w:rPr>
          <w:rFonts w:hint="eastAsia" w:ascii="黑体" w:hAnsi="黑体" w:eastAsia="黑体" w:cs="黑体"/>
          <w:b w:val="0"/>
          <w:bCs/>
          <w:kern w:val="2"/>
          <w:sz w:val="32"/>
          <w:szCs w:val="32"/>
          <w:highlight w:val="none"/>
          <w:lang w:val="en-US" w:eastAsia="zh-CN" w:bidi="ar"/>
        </w:rPr>
        <w:t>二、</w:t>
      </w:r>
      <w:r>
        <w:rPr>
          <w:rFonts w:hint="eastAsia" w:ascii="黑体" w:hAnsi="黑体" w:eastAsia="黑体" w:cs="黑体"/>
          <w:b w:val="0"/>
          <w:bCs/>
          <w:sz w:val="32"/>
          <w:szCs w:val="32"/>
          <w:highlight w:val="none"/>
        </w:rPr>
        <w:t>预算收支增减变化情况</w:t>
      </w:r>
    </w:p>
    <w:p w14:paraId="5884B34B">
      <w:pPr>
        <w:pStyle w:val="4"/>
        <w:spacing w:before="0" w:beforeAutospacing="0" w:after="0" w:afterAutospacing="0"/>
        <w:rPr>
          <w:rFonts w:hint="eastAsia" w:ascii="黑体" w:hAnsi="黑体" w:eastAsia="黑体" w:cs="黑体"/>
          <w:b w:val="0"/>
          <w:bCs/>
          <w:sz w:val="32"/>
          <w:szCs w:val="32"/>
          <w:highlight w:val="none"/>
        </w:rPr>
      </w:pPr>
      <w:r>
        <w:rPr>
          <w:rFonts w:hint="eastAsia" w:ascii="黑体" w:hAnsi="黑体" w:eastAsia="黑体" w:cs="黑体"/>
          <w:b w:val="0"/>
          <w:bCs/>
          <w:kern w:val="2"/>
          <w:sz w:val="32"/>
          <w:szCs w:val="32"/>
          <w:highlight w:val="none"/>
          <w:lang w:val="en-US" w:eastAsia="zh-CN" w:bidi="ar"/>
        </w:rPr>
        <w:t>三、</w:t>
      </w:r>
      <w:r>
        <w:rPr>
          <w:rFonts w:hint="eastAsia" w:ascii="黑体" w:hAnsi="黑体" w:eastAsia="黑体" w:cs="黑体"/>
          <w:b w:val="0"/>
          <w:bCs/>
          <w:sz w:val="32"/>
          <w:szCs w:val="32"/>
          <w:highlight w:val="none"/>
        </w:rPr>
        <w:t>机关运行费安排情况</w:t>
      </w:r>
    </w:p>
    <w:p w14:paraId="137BED57">
      <w:pPr>
        <w:pStyle w:val="4"/>
        <w:spacing w:before="0" w:beforeAutospacing="0" w:after="0" w:afterAutospacing="0"/>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政府采购安排情况</w:t>
      </w:r>
    </w:p>
    <w:p w14:paraId="764D5F86">
      <w:pPr>
        <w:pStyle w:val="4"/>
        <w:spacing w:before="0" w:beforeAutospacing="0" w:after="0" w:afterAutospacing="0"/>
        <w:rPr>
          <w:rFonts w:hint="eastAsia" w:ascii="黑体" w:hAnsi="黑体" w:eastAsia="黑体" w:cs="黑体"/>
          <w:b w:val="0"/>
          <w:bCs/>
          <w:sz w:val="32"/>
          <w:szCs w:val="32"/>
          <w:highlight w:val="none"/>
        </w:rPr>
      </w:pPr>
      <w:r>
        <w:rPr>
          <w:rFonts w:hint="eastAsia" w:ascii="黑体" w:hAnsi="黑体" w:eastAsia="黑体" w:cs="黑体"/>
          <w:b w:val="0"/>
          <w:bCs/>
          <w:kern w:val="2"/>
          <w:sz w:val="32"/>
          <w:szCs w:val="32"/>
          <w:highlight w:val="none"/>
          <w:lang w:val="en-US" w:eastAsia="zh-CN" w:bidi="ar"/>
        </w:rPr>
        <w:t>五、</w:t>
      </w:r>
      <w:r>
        <w:rPr>
          <w:rFonts w:hint="eastAsia" w:ascii="黑体" w:hAnsi="黑体" w:eastAsia="黑体" w:cs="黑体"/>
          <w:b w:val="0"/>
          <w:bCs/>
          <w:sz w:val="32"/>
          <w:szCs w:val="32"/>
          <w:highlight w:val="none"/>
        </w:rPr>
        <w:t>“三公”经费增减变化原因等情况说明</w:t>
      </w:r>
    </w:p>
    <w:p w14:paraId="5936B28B">
      <w:pPr>
        <w:pStyle w:val="4"/>
        <w:spacing w:before="0" w:beforeAutospacing="0" w:after="0" w:afterAutospacing="0"/>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六、</w:t>
      </w:r>
      <w:r>
        <w:rPr>
          <w:rFonts w:hint="eastAsia" w:ascii="黑体" w:hAnsi="黑体" w:eastAsia="黑体" w:cs="黑体"/>
          <w:b w:val="0"/>
          <w:bCs/>
          <w:sz w:val="32"/>
          <w:szCs w:val="32"/>
          <w:highlight w:val="none"/>
        </w:rPr>
        <w:t>预算绩效情况</w:t>
      </w:r>
    </w:p>
    <w:p w14:paraId="0E1E60CF">
      <w:pPr>
        <w:pStyle w:val="4"/>
        <w:spacing w:before="0" w:beforeAutospacing="0" w:after="0" w:afterAutospacing="0"/>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val="en-US" w:eastAsia="zh-CN"/>
        </w:rPr>
        <w:t>七、</w:t>
      </w:r>
      <w:r>
        <w:rPr>
          <w:rFonts w:hint="eastAsia" w:ascii="黑体" w:hAnsi="黑体" w:eastAsia="黑体" w:cs="黑体"/>
          <w:b w:val="0"/>
          <w:bCs/>
          <w:sz w:val="32"/>
          <w:szCs w:val="32"/>
          <w:highlight w:val="none"/>
        </w:rPr>
        <w:t>国有资产占用使用情况</w:t>
      </w:r>
    </w:p>
    <w:p w14:paraId="0B7CDAFF">
      <w:pPr>
        <w:pStyle w:val="4"/>
        <w:spacing w:before="0" w:beforeAutospacing="0" w:after="0" w:afterAutospacing="0"/>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八、名词解释</w:t>
      </w:r>
    </w:p>
    <w:p w14:paraId="0858AEDA">
      <w:pPr>
        <w:jc w:val="center"/>
        <w:rPr>
          <w:rFonts w:hint="eastAsia"/>
          <w:b/>
          <w:sz w:val="44"/>
          <w:szCs w:val="44"/>
          <w:lang w:eastAsia="zh-CN"/>
        </w:rPr>
      </w:pPr>
    </w:p>
    <w:p w14:paraId="0A5BA463">
      <w:pPr>
        <w:jc w:val="center"/>
        <w:rPr>
          <w:rFonts w:hint="eastAsia"/>
          <w:b/>
          <w:sz w:val="44"/>
          <w:szCs w:val="44"/>
          <w:lang w:eastAsia="zh-CN"/>
        </w:rPr>
      </w:pPr>
    </w:p>
    <w:p w14:paraId="6F1B5544">
      <w:pPr>
        <w:jc w:val="center"/>
        <w:rPr>
          <w:rFonts w:hint="eastAsia"/>
          <w:b/>
          <w:sz w:val="44"/>
          <w:szCs w:val="44"/>
          <w:lang w:eastAsia="zh-CN"/>
        </w:rPr>
      </w:pPr>
    </w:p>
    <w:p w14:paraId="42244DE6">
      <w:pPr>
        <w:jc w:val="center"/>
        <w:rPr>
          <w:rFonts w:hint="eastAsia"/>
          <w:b/>
          <w:sz w:val="44"/>
          <w:szCs w:val="44"/>
          <w:lang w:eastAsia="zh-CN"/>
        </w:rPr>
      </w:pPr>
    </w:p>
    <w:p w14:paraId="6A522265">
      <w:pPr>
        <w:jc w:val="center"/>
        <w:rPr>
          <w:rFonts w:hint="eastAsia"/>
          <w:b/>
          <w:sz w:val="44"/>
          <w:szCs w:val="44"/>
          <w:lang w:eastAsia="zh-CN"/>
        </w:rPr>
      </w:pPr>
    </w:p>
    <w:p w14:paraId="3F32F8AC">
      <w:pPr>
        <w:jc w:val="center"/>
        <w:rPr>
          <w:rFonts w:hint="eastAsia"/>
          <w:b/>
          <w:sz w:val="44"/>
          <w:szCs w:val="44"/>
          <w:lang w:eastAsia="zh-CN"/>
        </w:rPr>
      </w:pPr>
    </w:p>
    <w:p w14:paraId="7522A7C7">
      <w:pPr>
        <w:jc w:val="center"/>
        <w:rPr>
          <w:rFonts w:hint="eastAsia"/>
          <w:b/>
          <w:sz w:val="44"/>
          <w:szCs w:val="44"/>
          <w:lang w:eastAsia="zh-CN"/>
        </w:rPr>
      </w:pPr>
    </w:p>
    <w:p w14:paraId="41B485F7">
      <w:pPr>
        <w:jc w:val="center"/>
        <w:rPr>
          <w:rFonts w:hint="eastAsia"/>
          <w:b/>
          <w:sz w:val="44"/>
          <w:szCs w:val="44"/>
          <w:lang w:eastAsia="zh-CN"/>
        </w:rPr>
      </w:pPr>
    </w:p>
    <w:p w14:paraId="3FCD74A4">
      <w:pPr>
        <w:jc w:val="center"/>
        <w:rPr>
          <w:rFonts w:hint="eastAsia"/>
          <w:b/>
          <w:sz w:val="44"/>
          <w:szCs w:val="44"/>
          <w:lang w:eastAsia="zh-CN"/>
        </w:rPr>
      </w:pPr>
    </w:p>
    <w:p w14:paraId="3B902737">
      <w:pPr>
        <w:jc w:val="center"/>
        <w:rPr>
          <w:rFonts w:hint="eastAsia"/>
          <w:b/>
          <w:sz w:val="44"/>
          <w:szCs w:val="44"/>
          <w:lang w:eastAsia="zh-CN"/>
        </w:rPr>
      </w:pPr>
    </w:p>
    <w:p w14:paraId="56AA8C44">
      <w:pPr>
        <w:jc w:val="both"/>
        <w:rPr>
          <w:rFonts w:hint="eastAsia"/>
          <w:b/>
          <w:sz w:val="44"/>
          <w:szCs w:val="44"/>
          <w:lang w:eastAsia="zh-CN"/>
        </w:rPr>
      </w:pPr>
    </w:p>
    <w:p w14:paraId="5113FE5B">
      <w:pPr>
        <w:jc w:val="center"/>
        <w:rPr>
          <w:rFonts w:hint="eastAsia"/>
          <w:b/>
          <w:sz w:val="44"/>
          <w:szCs w:val="44"/>
          <w:lang w:eastAsia="zh-CN"/>
        </w:rPr>
      </w:pPr>
      <w:r>
        <w:rPr>
          <w:rFonts w:hint="eastAsia"/>
          <w:b/>
          <w:sz w:val="44"/>
          <w:szCs w:val="44"/>
          <w:lang w:eastAsia="zh-CN"/>
        </w:rPr>
        <w:t>康平县海洲窝堡乡人民政府</w:t>
      </w:r>
    </w:p>
    <w:p w14:paraId="111B115F">
      <w:pPr>
        <w:jc w:val="center"/>
        <w:rPr>
          <w:rFonts w:hint="eastAsia"/>
          <w:b/>
          <w:sz w:val="44"/>
          <w:szCs w:val="44"/>
        </w:rPr>
      </w:pPr>
      <w:r>
        <w:rPr>
          <w:rFonts w:hint="eastAsia"/>
          <w:b/>
          <w:sz w:val="44"/>
          <w:szCs w:val="44"/>
          <w:lang w:val="en-US" w:eastAsia="zh-CN"/>
        </w:rPr>
        <w:t>2022</w:t>
      </w:r>
      <w:r>
        <w:rPr>
          <w:rFonts w:hint="eastAsia"/>
          <w:b/>
          <w:sz w:val="44"/>
          <w:szCs w:val="44"/>
        </w:rPr>
        <w:t>年</w:t>
      </w:r>
      <w:r>
        <w:rPr>
          <w:rFonts w:hint="eastAsia"/>
          <w:b/>
          <w:sz w:val="44"/>
          <w:szCs w:val="44"/>
          <w:lang w:val="en-US" w:eastAsia="zh-CN"/>
        </w:rPr>
        <w:t xml:space="preserve"> </w:t>
      </w:r>
      <w:r>
        <w:rPr>
          <w:rFonts w:hint="eastAsia"/>
          <w:b/>
          <w:sz w:val="44"/>
          <w:szCs w:val="44"/>
        </w:rPr>
        <w:t>预算公开说明</w:t>
      </w:r>
    </w:p>
    <w:p w14:paraId="4B206DDA">
      <w:pPr>
        <w:jc w:val="center"/>
        <w:rPr>
          <w:rFonts w:hint="eastAsia"/>
          <w:b/>
          <w:sz w:val="44"/>
          <w:szCs w:val="44"/>
          <w:lang w:val="en-US" w:eastAsia="zh-CN"/>
        </w:rPr>
      </w:pPr>
    </w:p>
    <w:p w14:paraId="54F8534E">
      <w:pPr>
        <w:pStyle w:val="2"/>
        <w:bidi w:val="0"/>
        <w:rPr>
          <w:rFonts w:hint="eastAsia" w:ascii="仿宋" w:hAnsi="仿宋" w:eastAsia="仿宋" w:cs="仿宋"/>
          <w:lang w:val="en-US" w:eastAsia="zh-CN"/>
        </w:rPr>
      </w:pPr>
      <w:r>
        <w:rPr>
          <w:rFonts w:hint="eastAsia" w:ascii="仿宋" w:hAnsi="仿宋" w:eastAsia="仿宋" w:cs="仿宋"/>
        </w:rPr>
        <w:t>一、部门主要职责及机构设置情况</w:t>
      </w:r>
    </w:p>
    <w:p w14:paraId="5642C93D">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楷体" w:hAnsi="楷体" w:eastAsia="楷体" w:cs="楷体"/>
          <w:kern w:val="2"/>
          <w:sz w:val="32"/>
          <w:szCs w:val="32"/>
          <w:lang w:val="en-US" w:eastAsia="zh-CN" w:bidi="ar-SA"/>
        </w:rPr>
        <w:t>1、</w:t>
      </w:r>
      <w:r>
        <w:rPr>
          <w:rFonts w:hint="eastAsia" w:ascii="仿宋" w:hAnsi="仿宋" w:eastAsia="仿宋" w:cs="仿宋"/>
          <w:kern w:val="2"/>
          <w:sz w:val="32"/>
          <w:szCs w:val="32"/>
          <w:lang w:val="en-US" w:eastAsia="zh-CN" w:bidi="ar-SA"/>
        </w:rPr>
        <w:t>部门职能：政府机关</w:t>
      </w:r>
    </w:p>
    <w:p w14:paraId="2F2D1FD9">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主要职责：落实政策、促进发展、维护稳定、加强管理、提供服务五个方面。贯彻执行党的路线、方针、政策，讨论决定本乡经济建设和社会发展的重大问题；领导各部门和群众组织，依照国家法律法规及各自章程行使职权；加强乡党工委自身建设和村级组织建设；按照干部管理权限，负责对干部的教育、培养、选拔和监督工作；密切联系群众，为全乡农村经济和社会事业发展服好务。</w:t>
      </w:r>
    </w:p>
    <w:p w14:paraId="2E4FDBDB">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2、机构情况：1个</w:t>
      </w:r>
    </w:p>
    <w:p w14:paraId="00B34FAE">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我乡内设5个综合办事机构，即：党政综合办公室（党建工作办公室）、产业发展办公室、公共服务与社会治理办公室、生态环保办公室、财政经济办公室。</w:t>
      </w:r>
    </w:p>
    <w:p w14:paraId="4623D634">
      <w:pPr>
        <w:pStyle w:val="2"/>
        <w:bidi w:val="0"/>
        <w:rPr>
          <w:rFonts w:hint="eastAsia" w:ascii="楷体" w:hAnsi="楷体" w:eastAsia="楷体" w:cs="楷体"/>
          <w:kern w:val="2"/>
          <w:sz w:val="32"/>
          <w:szCs w:val="32"/>
          <w:lang w:val="en-US" w:eastAsia="zh-CN" w:bidi="ar-SA"/>
        </w:rPr>
      </w:pPr>
      <w:r>
        <w:rPr>
          <w:rFonts w:hint="eastAsia" w:ascii="仿宋" w:hAnsi="仿宋" w:eastAsia="仿宋" w:cs="仿宋"/>
          <w:kern w:val="2"/>
          <w:sz w:val="32"/>
          <w:szCs w:val="32"/>
          <w:lang w:val="en-US" w:eastAsia="zh-CN" w:bidi="ar-SA"/>
        </w:rPr>
        <w:t>二、预算收支增减变化情况说明</w:t>
      </w:r>
    </w:p>
    <w:p w14:paraId="21CE85E7">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预算按量入为出，收支平衡的原则。</w:t>
      </w:r>
    </w:p>
    <w:p w14:paraId="4B62611E">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预算收入包括：公共财政拨款收入、单位依法组织的非税收入、政府性基金收入和其他收入。预算支出包括：基本支出预算（人员支出和公用经费支出）和项目支出。康平县海洲乡所有收入和支出均纳入部门预算管理。支出及增减变化情况：2022年预算收入2825.11万元，预算支出为2825.11万元;2021年预算收入2736.28万元，预算支出为2736.28万元：2022年与2021年预算支出相比增加88.83万元，增加3.25％；上级补助收入部分由上级财政代编，列入上级财政预算。</w:t>
      </w:r>
    </w:p>
    <w:p w14:paraId="34824700">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2022年本部门汇总支出预算2825.11万元，其中一般公共服务支出783.51万元，社会保障和就业支出43.69万元，城乡社区支出248万元，农林水支出68万元，资源勘探信息等支出1550万元,住房保障支出22.23万元，灾害防治疾病及管理支出40万元，文化旅游体育与传媒支出2.5万元，卫生健康支出43.69万元。</w:t>
      </w:r>
    </w:p>
    <w:p w14:paraId="5211B926">
      <w:pPr>
        <w:pStyle w:val="4"/>
        <w:keepNext w:val="0"/>
        <w:keepLines w:val="0"/>
        <w:widowControl/>
        <w:suppressLineNumbers w:val="0"/>
        <w:shd w:val="clear"/>
        <w:spacing w:line="315" w:lineRule="atLeast"/>
        <w:ind w:left="0" w:firstLine="420"/>
        <w:jc w:val="left"/>
        <w:rPr>
          <w:rFonts w:hint="eastAsia" w:ascii="楷体" w:hAnsi="楷体" w:eastAsia="楷体" w:cs="楷体"/>
          <w:kern w:val="2"/>
          <w:sz w:val="32"/>
          <w:szCs w:val="32"/>
          <w:lang w:val="en-US" w:eastAsia="zh-CN" w:bidi="ar-SA"/>
        </w:rPr>
      </w:pPr>
      <w:r>
        <w:rPr>
          <w:rFonts w:hint="eastAsia" w:ascii="仿宋" w:hAnsi="仿宋" w:eastAsia="仿宋" w:cs="仿宋"/>
          <w:kern w:val="2"/>
          <w:sz w:val="32"/>
          <w:szCs w:val="32"/>
          <w:lang w:val="en-US" w:eastAsia="zh-CN" w:bidi="ar-SA"/>
        </w:rPr>
        <w:t>2022年公共财政预算支出共2825.11万元。其中，基本支出703.61万元，主要用于工资福利性支出、对个人和家庭补助支出和公用支出等；项目支出预算2121.5万元，主要用于城乡社区支出、资源勘探信息支出等。</w:t>
      </w:r>
    </w:p>
    <w:p w14:paraId="442B53BF">
      <w:pPr>
        <w:pStyle w:val="2"/>
        <w:bidi w:val="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三、机关运行费安排情况</w:t>
      </w:r>
    </w:p>
    <w:p w14:paraId="780AFB86">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机关运行费预算安排情况，总运行经费共220.35万元，包括：办公费15万元；印刷费10万元；咨询费10万元；手续费0.5万元；水电费70万元；邮电费3万元；差旅费5万元；维修（护）费75万元；培训费6.5万元；工会经费3.74万元；公务交通补贴18.89万元；退休费2.72万元。</w:t>
      </w:r>
    </w:p>
    <w:p w14:paraId="20215967">
      <w:pPr>
        <w:pStyle w:val="2"/>
        <w:bidi w:val="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四、政府采购安排情况</w:t>
      </w:r>
    </w:p>
    <w:p w14:paraId="13494068">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2022年政府采购未做预算安排。</w:t>
      </w:r>
    </w:p>
    <w:p w14:paraId="63F7819A">
      <w:pPr>
        <w:pStyle w:val="2"/>
        <w:bidi w:val="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五、“三公”经费增减变化原因等情况说明</w:t>
      </w:r>
    </w:p>
    <w:p w14:paraId="4080DF8B">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康平县海洲乡人民政府2022年公务接待费预算为9.2万元，与上年持平。因取消公车没有公车运行费。公务用车购置费和按因公出国(境)费本单位不涉及；</w:t>
      </w:r>
    </w:p>
    <w:p w14:paraId="4C042090">
      <w:pPr>
        <w:pStyle w:val="2"/>
        <w:bidi w:val="0"/>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六、预算绩效情况</w:t>
      </w:r>
    </w:p>
    <w:p w14:paraId="255CB4C5">
      <w:pPr>
        <w:pStyle w:val="2"/>
        <w:bidi w:val="0"/>
        <w:ind w:firstLine="640" w:firstLineChars="200"/>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SA"/>
        </w:rPr>
        <w:t>预算绩效管理工作将进一步加强和完善，使用财政资金要讲究效益的理念在逐步形成。</w:t>
      </w:r>
    </w:p>
    <w:p w14:paraId="0966CE7D">
      <w:pPr>
        <w:pStyle w:val="2"/>
        <w:bidi w:val="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七、国有资产占用使用情况</w:t>
      </w:r>
    </w:p>
    <w:p w14:paraId="3D4F373E">
      <w:pPr>
        <w:pStyle w:val="2"/>
        <w:keepNext/>
        <w:keepLines/>
        <w:pageBreakBefore w:val="0"/>
        <w:widowControl w:val="0"/>
        <w:kinsoku/>
        <w:wordWrap/>
        <w:overflowPunct/>
        <w:topLinePunct w:val="0"/>
        <w:autoSpaceDE/>
        <w:autoSpaceDN/>
        <w:bidi w:val="0"/>
        <w:adjustRightInd/>
        <w:snapToGrid/>
        <w:spacing w:line="413" w:lineRule="auto"/>
        <w:ind w:firstLine="640" w:firstLineChars="200"/>
        <w:textAlignment w:val="auto"/>
        <w:rPr>
          <w:rFonts w:hint="default"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SA"/>
        </w:rPr>
        <w:t xml:space="preserve"> 流动资产占总资产的82%，固定资产占总资产的18%，固定资产比上年有所减少，原因是新购入固定资产减少。我单位公务用车0辆。</w:t>
      </w:r>
    </w:p>
    <w:p w14:paraId="09AF1EE9">
      <w:pPr>
        <w:pStyle w:val="2"/>
        <w:bidi w:val="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八、名词解释</w:t>
      </w:r>
    </w:p>
    <w:p w14:paraId="6A0FE4FC">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1.财政拨款收入：指市级财政当年拨付的资金。</w:t>
      </w:r>
    </w:p>
    <w:p w14:paraId="15079093">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2.上级补助收入：指事业单位从主管部门和上级单位取得的非财政补助收入。</w:t>
      </w:r>
    </w:p>
    <w:p w14:paraId="56C5EBC4">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3.附属单位上缴收入：指已纳入部门预算管理的独立核算的附属单位按照有关规定上缴的收入。</w:t>
      </w:r>
    </w:p>
    <w:p w14:paraId="1B7BE026">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 其他收入：指除上述“财政拨款收入”、“纳入专户管理的预算外资金拨款”、“上级补助、附属单位上缴收入”以外的收入。</w:t>
      </w:r>
    </w:p>
    <w:p w14:paraId="2AEAE39C">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5.一般公共服务（类）财政事务（款）行政运行（项）：反映行政单位（包括实行公务员管理的事业单位）的基本支出。</w:t>
      </w:r>
    </w:p>
    <w:p w14:paraId="5F553065">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6.一般公共服务（类）财政事务（款）一般行政管理事务（项）：反映行政单位（包括实行公务员管理的事业单位）未单独设置项级科目的其他项目支出。</w:t>
      </w:r>
    </w:p>
    <w:p w14:paraId="007A36DF">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7.一般公共服务（类）财政事务（款）预算改革业务（项）：反映财政部门用于预算改革方面的支出。</w:t>
      </w:r>
    </w:p>
    <w:p w14:paraId="5F360020">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8.一般公共服务（类）财政事务（款）财政国库业务（项）：反映财政部门用于财政国库集中收付业务方面的支出。</w:t>
      </w:r>
    </w:p>
    <w:p w14:paraId="317E311A">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9.一般公共服务（类）财政事务（款）事业运行（项）：反映事业单位的基本支出，不包括行政单位（包括实行公务员管理的事业单位）后勤服务中心、医务室等附属事业单位。</w:t>
      </w:r>
    </w:p>
    <w:p w14:paraId="1B17AC92">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10.一般公共服务（类）财政事务（款）其他财政事务支出（项）：反映除上述项目以外其他财政事务方面的支出。</w:t>
      </w:r>
    </w:p>
    <w:p w14:paraId="0F4A5253">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11.社会保障和就业（类）行政事业单位离退休（款）归口管理的行政单位离退休（项）：反映实行归口管理的行政单位（包括实行公务员管理的事业单位）开支的离退休经费。</w:t>
      </w:r>
    </w:p>
    <w:p w14:paraId="26DD94F1">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12.社会保障和就业（类）行政事业单位离退休（款）事业单位离退休（项）：反映实行归口管理的事业单位开支的离退休经费。</w:t>
      </w:r>
    </w:p>
    <w:p w14:paraId="5703BC24">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14:paraId="48B376FF">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14:paraId="0BC12468">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15.住房保障（类）住房改革（款）住房公积金（项）：反映行政事业单位按人力资源和社会保障部、财政部规定的基本工资和津贴补贴以及规定比例为职工缴纳的住房公积金。</w:t>
      </w:r>
    </w:p>
    <w:p w14:paraId="6CEE0AC8">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16. 基本支出：指保障机构正常运转、完成日常工作任务而发生的人员支出和公用支出。</w:t>
      </w:r>
    </w:p>
    <w:p w14:paraId="7D328A31">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17. 项目支出：指在基本支出之外为完成特定行政任务和事业发展目标所发生的支出。</w:t>
      </w:r>
    </w:p>
    <w:p w14:paraId="5C566E70">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212765D">
      <w:pPr>
        <w:pStyle w:val="4"/>
        <w:keepNext w:val="0"/>
        <w:keepLines w:val="0"/>
        <w:widowControl/>
        <w:suppressLineNumbers w:val="0"/>
        <w:shd w:val="clear"/>
        <w:spacing w:line="315" w:lineRule="atLeast"/>
        <w:ind w:lef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DBC1A6D">
      <w:pPr>
        <w:pStyle w:val="4"/>
        <w:keepNext w:val="0"/>
        <w:keepLines w:val="0"/>
        <w:widowControl/>
        <w:suppressLineNumbers w:val="0"/>
        <w:shd w:val="clear"/>
        <w:spacing w:line="315" w:lineRule="atLeast"/>
        <w:jc w:val="righ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康平县海洲乡政府</w:t>
      </w:r>
    </w:p>
    <w:p w14:paraId="273200C8">
      <w:pPr>
        <w:pStyle w:val="4"/>
        <w:keepNext w:val="0"/>
        <w:keepLines w:val="0"/>
        <w:widowControl/>
        <w:suppressLineNumbers w:val="0"/>
        <w:shd w:val="clear"/>
        <w:spacing w:line="315" w:lineRule="atLeast"/>
        <w:jc w:val="righ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2022年1月14日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54417CF8"/>
    <w:rsid w:val="06A87073"/>
    <w:rsid w:val="0B815649"/>
    <w:rsid w:val="101F3682"/>
    <w:rsid w:val="120D40DA"/>
    <w:rsid w:val="16B34760"/>
    <w:rsid w:val="1D317853"/>
    <w:rsid w:val="24E16D01"/>
    <w:rsid w:val="2AA131BA"/>
    <w:rsid w:val="44CF3F42"/>
    <w:rsid w:val="462A00B0"/>
    <w:rsid w:val="49987B32"/>
    <w:rsid w:val="4B3426CD"/>
    <w:rsid w:val="513444D8"/>
    <w:rsid w:val="54417CF8"/>
    <w:rsid w:val="5F4D07A0"/>
    <w:rsid w:val="604A3FF2"/>
    <w:rsid w:val="637D4B7C"/>
    <w:rsid w:val="71B20DD6"/>
    <w:rsid w:val="78A91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Emphasis"/>
    <w:basedOn w:val="6"/>
    <w:qFormat/>
    <w:uiPriority w:val="0"/>
    <w:rPr>
      <w:i/>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2532</Words>
  <Characters>2707</Characters>
  <Lines>0</Lines>
  <Paragraphs>0</Paragraphs>
  <TotalTime>7</TotalTime>
  <ScaleCrop>false</ScaleCrop>
  <LinksUpToDate>false</LinksUpToDate>
  <CharactersWithSpaces>2718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2022-01-13T03:12:00Z</dcterms:created>
  <dc:creator>Administrator</dc:creator>
  <cp:lastModifiedBy>Administrator</cp:lastModifiedBy>
  <dcterms:modified xsi:type="dcterms:W3CDTF">2024-08-29T01:50:06Z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8BA546DEBE4848D386E79D55F6672E03</vt:lpwstr>
  </property>
</Properties>
</file>