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lang w:val="en-US" w:eastAsia="zh-CN"/>
        </w:rPr>
      </w:pPr>
    </w:p>
    <w:p>
      <w:pPr>
        <w:jc w:val="center"/>
        <w:rPr>
          <w:rFonts w:hint="eastAsia"/>
          <w:b/>
          <w:sz w:val="44"/>
          <w:szCs w:val="44"/>
          <w:lang w:val="en-US" w:eastAsia="zh-CN"/>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ind w:firstLine="1767" w:firstLineChars="400"/>
        <w:jc w:val="both"/>
        <w:rPr>
          <w:rFonts w:hint="eastAsia"/>
          <w:b/>
          <w:sz w:val="44"/>
          <w:szCs w:val="44"/>
          <w:lang w:val="en-US" w:eastAsia="zh-CN"/>
        </w:rPr>
      </w:pPr>
      <w:r>
        <w:rPr>
          <w:rFonts w:hint="eastAsia"/>
          <w:b/>
          <w:sz w:val="44"/>
          <w:szCs w:val="44"/>
          <w:lang w:val="en-US" w:eastAsia="zh-CN"/>
        </w:rPr>
        <w:t>康平县卫生健康服务中心</w:t>
      </w:r>
    </w:p>
    <w:p>
      <w:pPr>
        <w:jc w:val="center"/>
        <w:rPr>
          <w:rFonts w:hint="eastAsia"/>
          <w:b/>
          <w:sz w:val="44"/>
          <w:szCs w:val="44"/>
        </w:rPr>
      </w:pPr>
      <w:r>
        <w:rPr>
          <w:rFonts w:hint="eastAsia"/>
          <w:b/>
          <w:sz w:val="44"/>
          <w:szCs w:val="44"/>
        </w:rPr>
        <w:t>202</w:t>
      </w:r>
      <w:r>
        <w:rPr>
          <w:rFonts w:hint="eastAsia"/>
          <w:b/>
          <w:sz w:val="44"/>
          <w:szCs w:val="44"/>
          <w:lang w:val="en-US" w:eastAsia="zh-CN"/>
        </w:rPr>
        <w:t>2</w:t>
      </w:r>
      <w:r>
        <w:rPr>
          <w:rFonts w:hint="eastAsia"/>
          <w:b/>
          <w:sz w:val="44"/>
          <w:szCs w:val="44"/>
        </w:rPr>
        <w:t>年预算公开说明</w:t>
      </w: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both"/>
        <w:rPr>
          <w:rFonts w:hint="eastAsia"/>
          <w:b/>
          <w:sz w:val="44"/>
          <w:szCs w:val="44"/>
        </w:rPr>
      </w:pPr>
    </w:p>
    <w:p>
      <w:pPr>
        <w:jc w:val="both"/>
        <w:rPr>
          <w:rFonts w:hint="eastAsia"/>
          <w:b/>
          <w:sz w:val="44"/>
          <w:szCs w:val="44"/>
        </w:rPr>
      </w:pPr>
    </w:p>
    <w:p>
      <w:pPr>
        <w:jc w:val="center"/>
        <w:rPr>
          <w:rFonts w:hint="eastAsia"/>
          <w:b/>
          <w:sz w:val="44"/>
          <w:szCs w:val="44"/>
        </w:rPr>
      </w:pPr>
      <w:r>
        <w:rPr>
          <w:rFonts w:hint="eastAsia"/>
          <w:b/>
          <w:sz w:val="44"/>
          <w:szCs w:val="44"/>
        </w:rPr>
        <w:t>目    录</w:t>
      </w:r>
    </w:p>
    <w:p>
      <w:pPr>
        <w:jc w:val="center"/>
        <w:rPr>
          <w:rFonts w:hint="eastAsia"/>
          <w:b/>
          <w:sz w:val="44"/>
          <w:szCs w:val="44"/>
        </w:rPr>
      </w:pPr>
    </w:p>
    <w:p>
      <w:pPr>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康平县卫生健康服务中心</w:t>
      </w:r>
      <w:r>
        <w:rPr>
          <w:rFonts w:hint="eastAsia" w:ascii="黑体" w:hAnsi="黑体" w:eastAsia="黑体"/>
          <w:sz w:val="32"/>
          <w:szCs w:val="32"/>
        </w:rPr>
        <w:t>概况</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康平县卫生健康服务中心</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年部门预算公开表</w:t>
      </w:r>
    </w:p>
    <w:p>
      <w:pPr>
        <w:rPr>
          <w:rFonts w:hint="eastAsia" w:ascii="仿宋_GB2312" w:hAnsi="黑体" w:eastAsia="仿宋_GB2312"/>
          <w:sz w:val="32"/>
          <w:szCs w:val="32"/>
        </w:rPr>
      </w:pPr>
      <w:r>
        <w:rPr>
          <w:rFonts w:hint="eastAsia" w:ascii="仿宋_GB2312" w:hAnsi="黑体" w:eastAsia="仿宋_GB2312"/>
          <w:sz w:val="32"/>
          <w:szCs w:val="32"/>
        </w:rPr>
        <w:t>表1.收支预算总表</w:t>
      </w:r>
    </w:p>
    <w:p>
      <w:pPr>
        <w:rPr>
          <w:rFonts w:hint="eastAsia" w:ascii="仿宋_GB2312" w:hAnsi="黑体" w:eastAsia="仿宋_GB2312"/>
          <w:sz w:val="32"/>
          <w:szCs w:val="32"/>
        </w:rPr>
      </w:pPr>
      <w:r>
        <w:rPr>
          <w:rFonts w:hint="eastAsia" w:ascii="仿宋_GB2312" w:hAnsi="黑体" w:eastAsia="仿宋_GB2312"/>
          <w:sz w:val="32"/>
          <w:szCs w:val="32"/>
        </w:rPr>
        <w:t>表2.收入预算总表</w:t>
      </w:r>
    </w:p>
    <w:p>
      <w:pPr>
        <w:rPr>
          <w:rFonts w:hint="eastAsia" w:ascii="仿宋_GB2312" w:hAnsi="黑体" w:eastAsia="仿宋_GB2312"/>
          <w:sz w:val="32"/>
          <w:szCs w:val="32"/>
        </w:rPr>
      </w:pPr>
      <w:r>
        <w:rPr>
          <w:rFonts w:hint="eastAsia" w:ascii="仿宋_GB2312" w:hAnsi="黑体" w:eastAsia="仿宋_GB2312"/>
          <w:sz w:val="32"/>
          <w:szCs w:val="32"/>
        </w:rPr>
        <w:t>表3.支出预算总表</w:t>
      </w:r>
    </w:p>
    <w:p>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pPr>
        <w:rPr>
          <w:rFonts w:hint="eastAsia" w:ascii="仿宋_GB2312" w:hAnsi="黑体" w:eastAsia="仿宋_GB2312"/>
          <w:sz w:val="32"/>
          <w:szCs w:val="32"/>
        </w:rPr>
      </w:pPr>
      <w:r>
        <w:rPr>
          <w:rFonts w:hint="eastAsia" w:ascii="仿宋_GB2312" w:hAnsi="黑体" w:eastAsia="仿宋_GB2312"/>
          <w:sz w:val="32"/>
          <w:szCs w:val="32"/>
        </w:rPr>
        <w:t>表9.项目支出预算表</w:t>
      </w:r>
    </w:p>
    <w:p>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pPr>
        <w:rPr>
          <w:rFonts w:hint="eastAsia" w:ascii="仿宋_GB2312" w:hAnsi="黑体" w:eastAsia="仿宋_GB2312"/>
          <w:sz w:val="32"/>
          <w:szCs w:val="32"/>
        </w:rPr>
      </w:pPr>
      <w:r>
        <w:rPr>
          <w:rFonts w:hint="eastAsia" w:ascii="仿宋_GB2312" w:hAnsi="黑体" w:eastAsia="仿宋_GB2312"/>
          <w:sz w:val="32"/>
          <w:szCs w:val="32"/>
        </w:rPr>
        <w:t>表13.债务支出预算表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pPr>
        <w:rPr>
          <w:rFonts w:hint="eastAsia" w:ascii="黑体" w:hAnsi="黑体" w:eastAsia="黑体"/>
          <w:sz w:val="32"/>
          <w:szCs w:val="32"/>
        </w:rPr>
      </w:pPr>
      <w:r>
        <w:rPr>
          <w:rFonts w:hint="eastAsia" w:ascii="黑体" w:hAnsi="黑体" w:eastAsia="黑体"/>
          <w:sz w:val="32"/>
          <w:szCs w:val="32"/>
        </w:rPr>
        <w:t xml:space="preserve">第三部分  </w:t>
      </w:r>
      <w:r>
        <w:rPr>
          <w:rFonts w:hint="eastAsia" w:ascii="黑体" w:hAnsi="黑体" w:eastAsia="黑体"/>
          <w:sz w:val="32"/>
          <w:szCs w:val="32"/>
          <w:lang w:val="en-US" w:eastAsia="zh-CN"/>
        </w:rPr>
        <w:t>康平县卫生健康服务中心</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年部门预算情况说明</w:t>
      </w:r>
    </w:p>
    <w:p>
      <w:pPr>
        <w:rPr>
          <w:rFonts w:hint="eastAsia" w:ascii="黑体" w:hAnsi="黑体" w:eastAsia="黑体"/>
          <w:sz w:val="32"/>
          <w:szCs w:val="32"/>
        </w:rPr>
      </w:pPr>
      <w:r>
        <w:rPr>
          <w:rFonts w:hint="eastAsia" w:ascii="黑体" w:hAnsi="黑体" w:eastAsia="黑体"/>
          <w:sz w:val="32"/>
          <w:szCs w:val="32"/>
        </w:rPr>
        <w:t>第四部分  名词解释</w:t>
      </w: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rPr>
          <w:rFonts w:hint="eastAsia"/>
        </w:rPr>
      </w:pPr>
    </w:p>
    <w:p>
      <w:pPr>
        <w:pStyle w:val="10"/>
        <w:numPr>
          <w:ilvl w:val="0"/>
          <w:numId w:val="2"/>
        </w:numPr>
        <w:ind w:firstLine="630" w:firstLineChars="196"/>
        <w:rPr>
          <w:rFonts w:hint="eastAsia" w:ascii="仿宋" w:hAnsi="仿宋" w:eastAsia="仿宋" w:cs="仿宋"/>
          <w:bCs/>
          <w:sz w:val="32"/>
          <w:szCs w:val="32"/>
          <w:lang w:val="zh-TW"/>
        </w:rPr>
      </w:pPr>
      <w:r>
        <w:rPr>
          <w:rFonts w:hint="eastAsia" w:ascii="仿宋" w:hAnsi="仿宋" w:eastAsia="仿宋" w:cs="仿宋"/>
          <w:b/>
          <w:sz w:val="32"/>
          <w:szCs w:val="32"/>
        </w:rPr>
        <w:t>部门主要职责及机构设置情况</w:t>
      </w:r>
    </w:p>
    <w:p>
      <w:pPr>
        <w:numPr>
          <w:ilvl w:val="0"/>
          <w:numId w:val="3"/>
        </w:numPr>
        <w:spacing w:line="540" w:lineRule="exact"/>
        <w:ind w:firstLine="640" w:firstLineChars="200"/>
        <w:jc w:val="left"/>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康平县卫生健康服务中心主要职责</w:t>
      </w:r>
    </w:p>
    <w:p>
      <w:pPr>
        <w:numPr>
          <w:ilvl w:val="0"/>
          <w:numId w:val="0"/>
        </w:num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（一）负责组织、指导全县各级计划生育部门订购、发放计划生育药具。</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（二）负责为县内的妇女儿童提供基本的保健服务、信息管理、健康教育宣传、《出生医学证明》的管理与发放；为全县育龄妇女开展计划生育医疗服务。</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（三）负责全县离休干部、市政府以上劳动模范（退休后）医疗费核销及管理。</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（四）负责全县卫生专业技术人员学历提升和本中心人员继续教育及专业技术培训。</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（五）负责全县老年人政策待遇及高龄津贴发放工作。</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（六）负责为胜利街道居民提供基本公共卫生服务、疾病预防控制工作，负责城镇居民妇幼保健和孕妇检查及儿童保健免疫工作。</w:t>
      </w:r>
    </w:p>
    <w:p>
      <w:pPr>
        <w:spacing w:line="54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（七）负责本单位党的建设和群团工作。</w:t>
      </w:r>
    </w:p>
    <w:p>
      <w:pPr>
        <w:spacing w:line="540" w:lineRule="exact"/>
        <w:ind w:firstLine="640" w:firstLineChars="200"/>
        <w:jc w:val="left"/>
        <w:rPr>
          <w:rFonts w:hint="eastAsia" w:ascii="仿宋" w:hAnsi="仿宋" w:eastAsia="仿宋" w:cs="仿宋"/>
          <w:sz w:val="32"/>
          <w:szCs w:val="32"/>
        </w:rPr>
      </w:pPr>
      <w:r>
        <w:rPr>
          <w:rFonts w:hint="eastAsia" w:ascii="仿宋" w:hAnsi="仿宋" w:eastAsia="仿宋" w:cs="仿宋"/>
          <w:bCs/>
          <w:sz w:val="32"/>
          <w:szCs w:val="32"/>
          <w:lang w:val="zh-TW"/>
        </w:rPr>
        <w:t>（八）承担</w:t>
      </w:r>
      <w:r>
        <w:rPr>
          <w:rFonts w:hint="eastAsia" w:ascii="仿宋" w:hAnsi="仿宋" w:eastAsia="仿宋" w:cs="仿宋"/>
          <w:sz w:val="32"/>
          <w:szCs w:val="32"/>
        </w:rPr>
        <w:t>县委、县政府交办的其他工作。</w:t>
      </w:r>
    </w:p>
    <w:p>
      <w:pPr>
        <w:spacing w:line="54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zh-TW"/>
        </w:rPr>
        <w:t>2、康平县卫生健康服务中心是全额事业单位，执行事业单位财务制度，现有编制人员148人</w:t>
      </w:r>
      <w:r>
        <w:rPr>
          <w:rFonts w:hint="eastAsia" w:ascii="仿宋" w:hAnsi="仿宋" w:eastAsia="仿宋" w:cs="仿宋"/>
          <w:sz w:val="32"/>
          <w:szCs w:val="32"/>
          <w:lang w:val="zh-TW" w:eastAsia="zh-CN"/>
        </w:rPr>
        <w:t>。</w:t>
      </w:r>
      <w:r>
        <w:rPr>
          <w:rFonts w:hint="eastAsia" w:ascii="仿宋" w:hAnsi="仿宋" w:eastAsia="仿宋" w:cs="仿宋"/>
          <w:sz w:val="32"/>
          <w:szCs w:val="32"/>
          <w:lang w:val="en-US" w:eastAsia="zh-CN"/>
        </w:rPr>
        <w:t>具体机构设置如下：</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（一）</w:t>
      </w:r>
      <w:r>
        <w:rPr>
          <w:rFonts w:hint="eastAsia" w:ascii="仿宋" w:hAnsi="仿宋" w:eastAsia="仿宋" w:cs="仿宋"/>
          <w:b w:val="0"/>
          <w:bCs/>
          <w:color w:val="auto"/>
          <w:sz w:val="32"/>
          <w:szCs w:val="32"/>
          <w:highlight w:val="none"/>
          <w:lang w:val="zh-TW" w:eastAsia="zh-CN"/>
        </w:rPr>
        <w:t>综合部</w:t>
      </w:r>
      <w:r>
        <w:rPr>
          <w:rFonts w:hint="eastAsia" w:ascii="仿宋" w:hAnsi="仿宋" w:eastAsia="仿宋" w:cs="仿宋"/>
          <w:b w:val="0"/>
          <w:bCs/>
          <w:color w:val="auto"/>
          <w:sz w:val="32"/>
          <w:szCs w:val="32"/>
          <w:highlight w:val="none"/>
          <w:lang w:val="zh-TW" w:eastAsia="zh-TW"/>
        </w:rPr>
        <w:t>。负责组织协调中心日常工作，协助中心领导组织综合性政策调研;负责文电、信息、档案、保密、后勤等工作；负责文字综合工作；负责办公场所运转维护、安全等行政后勤事务管理工作；负责中心基建项目；负责中心的综合治理和安全生产工作。</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（二）党群工作部。负责宣传和执行党</w:t>
      </w:r>
      <w:bookmarkStart w:id="0" w:name="_GoBack"/>
      <w:bookmarkEnd w:id="0"/>
      <w:r>
        <w:rPr>
          <w:rFonts w:hint="eastAsia" w:ascii="仿宋" w:hAnsi="仿宋" w:eastAsia="仿宋" w:cs="仿宋"/>
          <w:b w:val="0"/>
          <w:bCs/>
          <w:color w:val="auto"/>
          <w:sz w:val="32"/>
          <w:szCs w:val="32"/>
          <w:highlight w:val="none"/>
          <w:lang w:val="zh-TW" w:eastAsia="zh-TW"/>
        </w:rPr>
        <w:t>的路线、方针、政策，落实上级党组织和中心党委的决议；做好发展党员工作，实施对党员的管理和监督；负责党的组织建设、党风廉政建设、宣传教育、思想政治、意识形态、精神文明建设等工作；处理日常党务，起草有关文件和报告。</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（三）人力资源部。负责单位的机构编制、人员调配、劳动工资审批、干部考核，协调人力资源的配置；负责专业技术人员的职称晋升申报工作；负责离退休人员工资；负责中心人事档案管理。</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（四）财务部。负责制定财会规章制度，负责会计事务；管理财务收支；对工作效益进行综合评价；对所属单位的国有资产实施监督；负责资产管理、政府采购、财务审计等工作。</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（五）公费医疗部。负责全县离休干部、市政府以上劳动模范（退休后）医疗费核销。</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 xml:space="preserve">（六）计划生育药具服务部。负责组织、指导全县各级计划生育部门订购、发放计划生育药具。  </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（七）老龄工作服务部。贯彻老年法，营造尊老敬老社会氛围，落实好老年人各项优惠政策，做好高龄老人生活补贴发放，办理老年证。负责全县老年人政策待遇及高龄津贴发放。</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rPr>
      </w:pPr>
      <w:r>
        <w:rPr>
          <w:rFonts w:hint="eastAsia" w:ascii="仿宋" w:hAnsi="仿宋" w:eastAsia="仿宋" w:cs="仿宋"/>
          <w:b w:val="0"/>
          <w:bCs/>
          <w:color w:val="auto"/>
          <w:sz w:val="32"/>
          <w:szCs w:val="32"/>
          <w:highlight w:val="none"/>
          <w:lang w:val="zh-TW" w:eastAsia="zh-CN"/>
        </w:rPr>
        <w:t>（</w:t>
      </w:r>
      <w:r>
        <w:rPr>
          <w:rFonts w:hint="eastAsia" w:ascii="仿宋" w:hAnsi="仿宋" w:eastAsia="仿宋" w:cs="仿宋"/>
          <w:b w:val="0"/>
          <w:bCs/>
          <w:color w:val="auto"/>
          <w:sz w:val="32"/>
          <w:szCs w:val="32"/>
          <w:highlight w:val="none"/>
          <w:lang w:val="en-US" w:eastAsia="zh-CN"/>
        </w:rPr>
        <w:t>八</w:t>
      </w:r>
      <w:r>
        <w:rPr>
          <w:rFonts w:hint="eastAsia" w:ascii="仿宋" w:hAnsi="仿宋" w:eastAsia="仿宋" w:cs="仿宋"/>
          <w:b w:val="0"/>
          <w:bCs/>
          <w:color w:val="auto"/>
          <w:sz w:val="32"/>
          <w:szCs w:val="32"/>
          <w:highlight w:val="none"/>
          <w:lang w:val="zh-TW" w:eastAsia="zh-CN"/>
        </w:rPr>
        <w:t>）</w:t>
      </w:r>
      <w:r>
        <w:rPr>
          <w:rFonts w:hint="eastAsia" w:ascii="仿宋" w:hAnsi="仿宋" w:eastAsia="仿宋" w:cs="仿宋"/>
          <w:b w:val="0"/>
          <w:bCs/>
          <w:color w:val="auto"/>
          <w:sz w:val="32"/>
          <w:szCs w:val="32"/>
          <w:highlight w:val="none"/>
          <w:lang w:val="en-US" w:eastAsia="zh-CN"/>
        </w:rPr>
        <w:t>其他</w:t>
      </w:r>
      <w:r>
        <w:rPr>
          <w:rFonts w:hint="eastAsia" w:ascii="仿宋" w:hAnsi="仿宋" w:eastAsia="仿宋" w:cs="仿宋"/>
          <w:b w:val="0"/>
          <w:bCs/>
          <w:color w:val="auto"/>
          <w:sz w:val="32"/>
          <w:szCs w:val="32"/>
          <w:highlight w:val="none"/>
          <w:lang w:val="zh-TW"/>
        </w:rPr>
        <w:t>分支机构</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0"/>
          <w:highlight w:val="none"/>
          <w:lang w:val="zh-TW" w:eastAsia="zh-TW"/>
        </w:rPr>
      </w:pP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lang w:val="zh-TW" w:eastAsia="zh-TW"/>
        </w:rPr>
        <w:t>妇幼保健计生服务分中心。</w:t>
      </w:r>
      <w:r>
        <w:rPr>
          <w:rFonts w:hint="eastAsia" w:ascii="仿宋" w:hAnsi="仿宋" w:eastAsia="仿宋" w:cs="仿宋"/>
          <w:b w:val="0"/>
          <w:bCs/>
          <w:color w:val="auto"/>
          <w:sz w:val="32"/>
          <w:szCs w:val="30"/>
          <w:highlight w:val="none"/>
          <w:lang w:val="zh-TW" w:eastAsia="zh-TW"/>
        </w:rPr>
        <w:t>负责对康平县内的妇女儿童提供基本的保健服务、进行信息管理、开展健康教育宣传、管理和发放《出生医学证明》；负责对幼儿园、托儿所的卫生保健工作进行评估和监督；负责开展孕前优生优育健康检查和孕期出生缺陷综合防控相关业务等工作；掌握辖区内妇女儿童健康状况信息，为辖区内妇女儿童提供妇女保健、围产保健、儿童保健、计划生育技术等妇幼保健计生技术服务，控制孕产妇及5岁以下儿童死亡率;为全县育龄妇女开展计划生育医疗技术服务。</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0"/>
          <w:highlight w:val="none"/>
          <w:lang w:val="zh-TW" w:eastAsia="zh-TW"/>
        </w:rPr>
      </w:pPr>
      <w:r>
        <w:rPr>
          <w:rFonts w:hint="eastAsia" w:ascii="仿宋" w:hAnsi="仿宋" w:eastAsia="仿宋" w:cs="仿宋"/>
          <w:b w:val="0"/>
          <w:bCs/>
          <w:color w:val="auto"/>
          <w:sz w:val="32"/>
          <w:szCs w:val="32"/>
          <w:highlight w:val="none"/>
          <w:lang w:val="en-US" w:eastAsia="zh-CN"/>
        </w:rPr>
        <w:t>2、</w:t>
      </w:r>
      <w:r>
        <w:rPr>
          <w:rFonts w:hint="eastAsia" w:ascii="仿宋" w:hAnsi="仿宋" w:eastAsia="仿宋" w:cs="仿宋"/>
          <w:b w:val="0"/>
          <w:bCs/>
          <w:color w:val="auto"/>
          <w:sz w:val="32"/>
          <w:szCs w:val="32"/>
          <w:highlight w:val="none"/>
          <w:lang w:val="zh-TW" w:eastAsia="zh-TW"/>
        </w:rPr>
        <w:t>卫生进修培训分中心。</w:t>
      </w:r>
      <w:r>
        <w:rPr>
          <w:rFonts w:hint="eastAsia" w:ascii="仿宋" w:hAnsi="仿宋" w:eastAsia="仿宋" w:cs="仿宋"/>
          <w:b w:val="0"/>
          <w:bCs/>
          <w:color w:val="auto"/>
          <w:sz w:val="32"/>
          <w:szCs w:val="30"/>
          <w:highlight w:val="none"/>
          <w:lang w:val="zh-TW" w:eastAsia="zh-TW"/>
        </w:rPr>
        <w:t>负责全县卫生专业技术人员学历提升和本中心人员继续教育及专业技术培训。</w:t>
      </w:r>
    </w:p>
    <w:p>
      <w:pPr>
        <w:pStyle w:val="11"/>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sz w:val="32"/>
          <w:szCs w:val="32"/>
        </w:rPr>
      </w:pPr>
      <w:r>
        <w:rPr>
          <w:rFonts w:hint="eastAsia" w:ascii="仿宋" w:hAnsi="仿宋" w:eastAsia="仿宋" w:cs="仿宋"/>
          <w:b w:val="0"/>
          <w:bCs/>
          <w:color w:val="auto"/>
          <w:sz w:val="32"/>
          <w:szCs w:val="32"/>
          <w:highlight w:val="none"/>
          <w:lang w:val="en-US" w:eastAsia="zh-CN"/>
        </w:rPr>
        <w:t>3、</w:t>
      </w:r>
      <w:r>
        <w:rPr>
          <w:rFonts w:hint="eastAsia" w:ascii="仿宋" w:hAnsi="仿宋" w:eastAsia="仿宋" w:cs="仿宋"/>
          <w:b w:val="0"/>
          <w:bCs/>
          <w:color w:val="auto"/>
          <w:sz w:val="32"/>
          <w:szCs w:val="32"/>
          <w:highlight w:val="none"/>
          <w:lang w:val="zh-TW" w:eastAsia="zh-TW"/>
        </w:rPr>
        <w:t>康平镇卫生防疫保健分中心。</w:t>
      </w:r>
      <w:r>
        <w:rPr>
          <w:rFonts w:hint="eastAsia" w:ascii="仿宋" w:hAnsi="仿宋" w:eastAsia="仿宋" w:cs="仿宋"/>
          <w:b w:val="0"/>
          <w:bCs/>
          <w:color w:val="auto"/>
          <w:sz w:val="32"/>
          <w:szCs w:val="30"/>
          <w:highlight w:val="none"/>
          <w:lang w:val="zh-TW" w:eastAsia="zh-TW"/>
        </w:rPr>
        <w:t>负责为胜利街道居民提供基本公共卫生服务、疾病预防控制工作，负责城镇居民妇幼保健和孕妇检查及儿童保健免疫工作。</w:t>
      </w:r>
    </w:p>
    <w:p>
      <w:pPr>
        <w:pStyle w:val="4"/>
        <w:spacing w:before="0" w:beforeAutospacing="0" w:after="0" w:afterAutospacing="0"/>
        <w:ind w:firstLine="643" w:firstLineChars="200"/>
        <w:rPr>
          <w:rFonts w:hint="eastAsia" w:ascii="仿宋" w:hAnsi="仿宋" w:eastAsia="仿宋" w:cs="仿宋"/>
          <w:b/>
          <w:sz w:val="32"/>
          <w:szCs w:val="32"/>
        </w:rPr>
      </w:pPr>
      <w:r>
        <w:rPr>
          <w:rFonts w:hint="eastAsia" w:ascii="仿宋" w:hAnsi="仿宋" w:eastAsia="仿宋" w:cs="仿宋"/>
          <w:b/>
          <w:sz w:val="32"/>
          <w:szCs w:val="32"/>
        </w:rPr>
        <w:t>二、预算收支增减变化情况</w:t>
      </w:r>
    </w:p>
    <w:p>
      <w:pPr>
        <w:pStyle w:val="4"/>
        <w:spacing w:before="0" w:beforeAutospacing="0" w:after="0" w:afterAutospacing="0"/>
        <w:ind w:firstLine="640" w:firstLineChars="200"/>
        <w:rPr>
          <w:rFonts w:hint="eastAsia"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eastAsia" w:ascii="仿宋" w:hAnsi="仿宋" w:eastAsia="仿宋" w:cs="仿宋"/>
          <w:sz w:val="32"/>
          <w:szCs w:val="32"/>
        </w:rPr>
        <w:t>年预算收入</w:t>
      </w:r>
      <w:r>
        <w:rPr>
          <w:rFonts w:hint="eastAsia" w:ascii="仿宋" w:hAnsi="仿宋" w:eastAsia="仿宋" w:cs="仿宋"/>
          <w:sz w:val="32"/>
          <w:szCs w:val="32"/>
          <w:lang w:val="en-US" w:eastAsia="zh-CN"/>
        </w:rPr>
        <w:t>1371.27</w:t>
      </w:r>
      <w:r>
        <w:rPr>
          <w:rFonts w:hint="eastAsia" w:ascii="仿宋" w:hAnsi="仿宋" w:eastAsia="仿宋" w:cs="仿宋"/>
          <w:sz w:val="32"/>
          <w:szCs w:val="32"/>
        </w:rPr>
        <w:t>万元，202</w:t>
      </w:r>
      <w:r>
        <w:rPr>
          <w:rFonts w:hint="eastAsia" w:ascii="仿宋" w:hAnsi="仿宋" w:eastAsia="仿宋" w:cs="仿宋"/>
          <w:sz w:val="32"/>
          <w:szCs w:val="32"/>
          <w:lang w:val="en-US" w:eastAsia="zh-CN"/>
        </w:rPr>
        <w:t>2</w:t>
      </w:r>
      <w:r>
        <w:rPr>
          <w:rFonts w:hint="eastAsia" w:ascii="仿宋" w:hAnsi="仿宋" w:eastAsia="仿宋" w:cs="仿宋"/>
          <w:sz w:val="32"/>
          <w:szCs w:val="32"/>
        </w:rPr>
        <w:t>年预算收入</w:t>
      </w:r>
      <w:r>
        <w:rPr>
          <w:rFonts w:hint="eastAsia" w:ascii="仿宋" w:hAnsi="仿宋" w:eastAsia="仿宋" w:cs="仿宋"/>
          <w:sz w:val="32"/>
          <w:szCs w:val="32"/>
          <w:lang w:val="en-US" w:eastAsia="zh-CN"/>
        </w:rPr>
        <w:t>1816.77</w:t>
      </w:r>
      <w:r>
        <w:rPr>
          <w:rFonts w:hint="eastAsia" w:ascii="仿宋" w:hAnsi="仿宋" w:eastAsia="仿宋" w:cs="仿宋"/>
          <w:sz w:val="32"/>
          <w:szCs w:val="32"/>
        </w:rPr>
        <w:t>万元，由于</w:t>
      </w:r>
      <w:r>
        <w:rPr>
          <w:rFonts w:hint="eastAsia" w:ascii="仿宋" w:hAnsi="仿宋" w:eastAsia="仿宋" w:cs="仿宋"/>
          <w:sz w:val="32"/>
          <w:szCs w:val="32"/>
          <w:lang w:val="en-US" w:eastAsia="zh-CN"/>
        </w:rPr>
        <w:t>项目增加</w:t>
      </w:r>
      <w:r>
        <w:rPr>
          <w:rFonts w:hint="eastAsia" w:ascii="仿宋" w:hAnsi="仿宋" w:eastAsia="仿宋" w:cs="仿宋"/>
          <w:sz w:val="32"/>
          <w:szCs w:val="32"/>
        </w:rPr>
        <w:t>，比上年</w:t>
      </w:r>
      <w:r>
        <w:rPr>
          <w:rFonts w:hint="eastAsia" w:ascii="仿宋" w:hAnsi="仿宋" w:eastAsia="仿宋" w:cs="仿宋"/>
          <w:sz w:val="32"/>
          <w:szCs w:val="32"/>
          <w:lang w:val="en-US" w:eastAsia="zh-CN"/>
        </w:rPr>
        <w:t>增加445.5</w:t>
      </w:r>
      <w:r>
        <w:rPr>
          <w:rFonts w:hint="eastAsia" w:ascii="仿宋" w:hAnsi="仿宋" w:eastAsia="仿宋" w:cs="仿宋"/>
          <w:sz w:val="32"/>
          <w:szCs w:val="32"/>
        </w:rPr>
        <w:t>万元，20</w:t>
      </w:r>
      <w:r>
        <w:rPr>
          <w:rFonts w:hint="eastAsia" w:ascii="仿宋" w:hAnsi="仿宋" w:eastAsia="仿宋" w:cs="仿宋"/>
          <w:sz w:val="32"/>
          <w:szCs w:val="32"/>
          <w:lang w:val="en-US" w:eastAsia="zh-CN"/>
        </w:rPr>
        <w:t>21</w:t>
      </w:r>
      <w:r>
        <w:rPr>
          <w:rFonts w:hint="eastAsia" w:ascii="仿宋" w:hAnsi="仿宋" w:eastAsia="仿宋" w:cs="仿宋"/>
          <w:sz w:val="32"/>
          <w:szCs w:val="32"/>
        </w:rPr>
        <w:t>年预算支出</w:t>
      </w:r>
      <w:r>
        <w:rPr>
          <w:rFonts w:hint="eastAsia" w:ascii="仿宋" w:hAnsi="仿宋" w:eastAsia="仿宋" w:cs="仿宋"/>
          <w:sz w:val="32"/>
          <w:szCs w:val="32"/>
          <w:lang w:val="en-US" w:eastAsia="zh-CN"/>
        </w:rPr>
        <w:t>1371.27</w:t>
      </w:r>
      <w:r>
        <w:rPr>
          <w:rFonts w:hint="eastAsia" w:ascii="仿宋" w:hAnsi="仿宋" w:eastAsia="仿宋" w:cs="仿宋"/>
          <w:sz w:val="32"/>
          <w:szCs w:val="32"/>
        </w:rPr>
        <w:t>万元，202</w:t>
      </w:r>
      <w:r>
        <w:rPr>
          <w:rFonts w:hint="eastAsia" w:ascii="仿宋" w:hAnsi="仿宋" w:eastAsia="仿宋" w:cs="仿宋"/>
          <w:sz w:val="32"/>
          <w:szCs w:val="32"/>
          <w:lang w:val="en-US" w:eastAsia="zh-CN"/>
        </w:rPr>
        <w:t>2</w:t>
      </w:r>
      <w:r>
        <w:rPr>
          <w:rFonts w:hint="eastAsia" w:ascii="仿宋" w:hAnsi="仿宋" w:eastAsia="仿宋" w:cs="仿宋"/>
          <w:sz w:val="32"/>
          <w:szCs w:val="32"/>
        </w:rPr>
        <w:t>年预算支出</w:t>
      </w:r>
      <w:r>
        <w:rPr>
          <w:rFonts w:hint="eastAsia" w:ascii="仿宋" w:hAnsi="仿宋" w:eastAsia="仿宋" w:cs="仿宋"/>
          <w:sz w:val="32"/>
          <w:szCs w:val="32"/>
          <w:lang w:val="en-US" w:eastAsia="zh-CN"/>
        </w:rPr>
        <w:t>1816.77</w:t>
      </w:r>
      <w:r>
        <w:rPr>
          <w:rFonts w:hint="eastAsia" w:ascii="仿宋" w:hAnsi="仿宋" w:eastAsia="仿宋" w:cs="仿宋"/>
          <w:sz w:val="32"/>
          <w:szCs w:val="32"/>
        </w:rPr>
        <w:t>万元，由</w:t>
      </w:r>
      <w:r>
        <w:rPr>
          <w:rFonts w:hint="eastAsia" w:ascii="仿宋" w:hAnsi="仿宋" w:eastAsia="仿宋" w:cs="仿宋"/>
          <w:sz w:val="32"/>
          <w:szCs w:val="32"/>
          <w:lang w:val="en-US" w:eastAsia="zh-CN"/>
        </w:rPr>
        <w:t>于项目增加</w:t>
      </w:r>
      <w:r>
        <w:rPr>
          <w:rFonts w:hint="eastAsia" w:ascii="仿宋" w:hAnsi="仿宋" w:eastAsia="仿宋" w:cs="仿宋"/>
          <w:sz w:val="32"/>
          <w:szCs w:val="32"/>
        </w:rPr>
        <w:t>，比上年</w:t>
      </w:r>
      <w:r>
        <w:rPr>
          <w:rFonts w:hint="eastAsia" w:ascii="仿宋" w:hAnsi="仿宋" w:eastAsia="仿宋" w:cs="仿宋"/>
          <w:sz w:val="32"/>
          <w:szCs w:val="32"/>
          <w:lang w:val="en-US" w:eastAsia="zh-CN"/>
        </w:rPr>
        <w:t>增加445.5</w:t>
      </w:r>
      <w:r>
        <w:rPr>
          <w:rFonts w:hint="eastAsia" w:ascii="仿宋" w:hAnsi="仿宋" w:eastAsia="仿宋" w:cs="仿宋"/>
          <w:sz w:val="32"/>
          <w:szCs w:val="32"/>
        </w:rPr>
        <w:t>万元。</w:t>
      </w:r>
    </w:p>
    <w:p>
      <w:pPr>
        <w:pStyle w:val="4"/>
        <w:numPr>
          <w:ilvl w:val="0"/>
          <w:numId w:val="0"/>
        </w:numPr>
        <w:spacing w:before="0" w:beforeAutospacing="0" w:after="0" w:afterAutospacing="0"/>
        <w:ind w:firstLine="643" w:firstLineChars="200"/>
        <w:rPr>
          <w:rFonts w:hint="eastAsia" w:ascii="仿宋" w:hAnsi="仿宋" w:eastAsia="仿宋" w:cs="仿宋"/>
          <w:b/>
          <w:sz w:val="32"/>
          <w:szCs w:val="32"/>
        </w:rPr>
      </w:pPr>
      <w:r>
        <w:rPr>
          <w:rFonts w:hint="eastAsia" w:ascii="仿宋" w:hAnsi="仿宋" w:eastAsia="仿宋" w:cs="仿宋"/>
          <w:b/>
          <w:sz w:val="32"/>
          <w:szCs w:val="32"/>
          <w:lang w:val="en-US" w:eastAsia="zh-CN"/>
        </w:rPr>
        <w:t>三、</w:t>
      </w:r>
      <w:r>
        <w:rPr>
          <w:rFonts w:hint="eastAsia" w:ascii="仿宋" w:hAnsi="仿宋" w:eastAsia="仿宋" w:cs="仿宋"/>
          <w:b/>
          <w:sz w:val="32"/>
          <w:szCs w:val="32"/>
        </w:rPr>
        <w:t>机关运行费安排情况</w:t>
      </w:r>
    </w:p>
    <w:p>
      <w:pPr>
        <w:pStyle w:val="4"/>
        <w:numPr>
          <w:ilvl w:val="0"/>
          <w:numId w:val="0"/>
        </w:numPr>
        <w:spacing w:before="0" w:beforeAutospacing="0" w:after="0" w:afterAutospacing="0"/>
        <w:ind w:leftChars="196" w:firstLine="320" w:firstLineChars="100"/>
        <w:rPr>
          <w:rFonts w:hint="eastAsia" w:ascii="仿宋" w:hAnsi="仿宋" w:eastAsia="仿宋" w:cs="仿宋"/>
          <w:b w:val="0"/>
          <w:bCs/>
          <w:sz w:val="32"/>
          <w:szCs w:val="32"/>
        </w:rPr>
      </w:pPr>
      <w:r>
        <w:rPr>
          <w:rFonts w:hint="eastAsia" w:ascii="仿宋" w:hAnsi="仿宋" w:eastAsia="仿宋" w:cs="仿宋"/>
          <w:b w:val="0"/>
          <w:bCs/>
          <w:sz w:val="32"/>
          <w:szCs w:val="32"/>
        </w:rPr>
        <w:t>事业单位无机关运行费。</w:t>
      </w:r>
    </w:p>
    <w:p>
      <w:pPr>
        <w:pStyle w:val="4"/>
        <w:numPr>
          <w:ilvl w:val="0"/>
          <w:numId w:val="0"/>
        </w:numPr>
        <w:spacing w:before="0" w:beforeAutospacing="0" w:after="0" w:afterAutospacing="0"/>
        <w:ind w:firstLine="643" w:firstLineChars="200"/>
        <w:rPr>
          <w:rFonts w:hint="eastAsia" w:ascii="仿宋" w:hAnsi="仿宋" w:eastAsia="仿宋" w:cs="仿宋"/>
          <w:b/>
          <w:sz w:val="32"/>
          <w:szCs w:val="32"/>
        </w:rPr>
      </w:pPr>
      <w:r>
        <w:rPr>
          <w:rFonts w:hint="eastAsia" w:ascii="仿宋" w:hAnsi="仿宋" w:eastAsia="仿宋" w:cs="仿宋"/>
          <w:b/>
          <w:sz w:val="32"/>
          <w:szCs w:val="32"/>
          <w:lang w:val="en-US" w:eastAsia="zh-CN"/>
        </w:rPr>
        <w:t>四、</w:t>
      </w:r>
      <w:r>
        <w:rPr>
          <w:rFonts w:hint="eastAsia" w:ascii="仿宋" w:hAnsi="仿宋" w:eastAsia="仿宋" w:cs="仿宋"/>
          <w:b/>
          <w:sz w:val="32"/>
          <w:szCs w:val="32"/>
        </w:rPr>
        <w:t>政府采购安排情况</w:t>
      </w:r>
    </w:p>
    <w:p>
      <w:pPr>
        <w:pStyle w:val="4"/>
        <w:numPr>
          <w:ilvl w:val="0"/>
          <w:numId w:val="0"/>
        </w:numPr>
        <w:spacing w:before="0" w:beforeAutospacing="0" w:after="0" w:afterAutospacing="0"/>
        <w:ind w:leftChars="196"/>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 xml:space="preserve"> </w:t>
      </w:r>
      <w:r>
        <w:rPr>
          <w:rFonts w:hint="eastAsia" w:ascii="仿宋" w:hAnsi="仿宋" w:eastAsia="仿宋" w:cs="仿宋"/>
          <w:b w:val="0"/>
          <w:bCs/>
          <w:sz w:val="32"/>
          <w:szCs w:val="32"/>
          <w:lang w:val="en-US" w:eastAsia="zh-CN"/>
        </w:rPr>
        <w:t xml:space="preserve"> 本年度无政府采购安排，但以实际发生为准。</w:t>
      </w:r>
    </w:p>
    <w:p>
      <w:pPr>
        <w:pStyle w:val="4"/>
        <w:numPr>
          <w:ilvl w:val="0"/>
          <w:numId w:val="4"/>
        </w:numPr>
        <w:spacing w:before="0" w:beforeAutospacing="0" w:after="0" w:afterAutospacing="0"/>
        <w:ind w:firstLine="643" w:firstLineChars="200"/>
        <w:rPr>
          <w:rFonts w:hint="eastAsia" w:ascii="仿宋" w:hAnsi="仿宋" w:eastAsia="仿宋" w:cs="仿宋"/>
          <w:b/>
          <w:sz w:val="32"/>
          <w:szCs w:val="32"/>
        </w:rPr>
      </w:pPr>
      <w:r>
        <w:rPr>
          <w:rFonts w:hint="eastAsia" w:ascii="仿宋" w:hAnsi="仿宋" w:eastAsia="仿宋" w:cs="仿宋"/>
          <w:b/>
          <w:sz w:val="32"/>
          <w:szCs w:val="32"/>
        </w:rPr>
        <w:t>“三公”经费增减变化原因等情况说明</w:t>
      </w:r>
    </w:p>
    <w:p>
      <w:pPr>
        <w:pStyle w:val="4"/>
        <w:numPr>
          <w:ilvl w:val="0"/>
          <w:numId w:val="0"/>
        </w:numPr>
        <w:spacing w:before="0" w:beforeAutospacing="0" w:after="0" w:afterAutospacing="0"/>
        <w:rPr>
          <w:rFonts w:hint="eastAsia" w:ascii="仿宋" w:hAnsi="仿宋" w:eastAsia="仿宋" w:cs="仿宋"/>
          <w:b/>
          <w:sz w:val="32"/>
          <w:szCs w:val="32"/>
          <w:lang w:val="en-US" w:eastAsia="zh-CN"/>
        </w:rPr>
      </w:pPr>
      <w:r>
        <w:rPr>
          <w:rFonts w:hint="eastAsia" w:ascii="仿宋" w:hAnsi="仿宋" w:eastAsia="仿宋" w:cs="仿宋"/>
          <w:b/>
          <w:sz w:val="32"/>
          <w:szCs w:val="32"/>
          <w:lang w:val="en-US" w:eastAsia="zh-CN"/>
        </w:rPr>
        <w:t xml:space="preserve">    </w:t>
      </w:r>
      <w:r>
        <w:rPr>
          <w:rFonts w:hint="eastAsia" w:ascii="仿宋" w:hAnsi="仿宋" w:eastAsia="仿宋" w:cs="仿宋"/>
          <w:b w:val="0"/>
          <w:bCs/>
          <w:sz w:val="32"/>
          <w:szCs w:val="32"/>
          <w:lang w:val="en-US" w:eastAsia="zh-CN"/>
        </w:rPr>
        <w:t xml:space="preserve"> 本单位不涉及三公经费。</w:t>
      </w:r>
    </w:p>
    <w:p>
      <w:pPr>
        <w:pStyle w:val="4"/>
        <w:numPr>
          <w:ilvl w:val="0"/>
          <w:numId w:val="4"/>
        </w:numPr>
        <w:spacing w:before="0" w:beforeAutospacing="0" w:after="0" w:afterAutospacing="0"/>
        <w:ind w:left="0" w:leftChars="0" w:firstLine="643" w:firstLineChars="200"/>
        <w:rPr>
          <w:rFonts w:hint="eastAsia" w:ascii="仿宋" w:hAnsi="仿宋" w:eastAsia="仿宋" w:cs="仿宋"/>
          <w:b/>
          <w:sz w:val="32"/>
          <w:szCs w:val="32"/>
        </w:rPr>
      </w:pPr>
      <w:r>
        <w:rPr>
          <w:rFonts w:hint="eastAsia" w:ascii="仿宋" w:hAnsi="仿宋" w:eastAsia="仿宋" w:cs="仿宋"/>
          <w:b/>
          <w:sz w:val="32"/>
          <w:szCs w:val="32"/>
        </w:rPr>
        <w:t>预算绩效情况</w:t>
      </w:r>
    </w:p>
    <w:p>
      <w:pPr>
        <w:pStyle w:val="4"/>
        <w:numPr>
          <w:ilvl w:val="0"/>
          <w:numId w:val="0"/>
        </w:numPr>
        <w:spacing w:before="0" w:beforeAutospacing="0" w:after="0" w:afterAutospacing="0"/>
        <w:ind w:leftChars="200" w:firstLine="320" w:firstLineChars="100"/>
        <w:rPr>
          <w:rFonts w:hint="eastAsia" w:ascii="仿宋" w:hAnsi="仿宋" w:eastAsia="仿宋" w:cs="仿宋"/>
          <w:b w:val="0"/>
          <w:bCs/>
          <w:sz w:val="32"/>
          <w:szCs w:val="32"/>
        </w:rPr>
      </w:pPr>
      <w:r>
        <w:rPr>
          <w:rFonts w:hint="eastAsia" w:ascii="仿宋" w:hAnsi="仿宋" w:eastAsia="仿宋" w:cs="仿宋"/>
          <w:b w:val="0"/>
          <w:bCs/>
          <w:sz w:val="32"/>
          <w:szCs w:val="32"/>
        </w:rPr>
        <w:t>预算绩效管理工作将进一步加强和完善，使用财政资金要讲究效益的理念在逐步形成。</w:t>
      </w:r>
    </w:p>
    <w:p>
      <w:pPr>
        <w:pStyle w:val="4"/>
        <w:numPr>
          <w:ilvl w:val="0"/>
          <w:numId w:val="4"/>
        </w:numPr>
        <w:spacing w:before="0" w:beforeAutospacing="0" w:after="0" w:afterAutospacing="0"/>
        <w:ind w:left="0" w:leftChars="0" w:firstLine="643" w:firstLineChars="200"/>
        <w:rPr>
          <w:rFonts w:hint="eastAsia" w:ascii="仿宋" w:hAnsi="仿宋" w:eastAsia="仿宋" w:cs="仿宋"/>
          <w:b/>
          <w:sz w:val="32"/>
          <w:szCs w:val="32"/>
        </w:rPr>
      </w:pPr>
      <w:r>
        <w:rPr>
          <w:rFonts w:hint="eastAsia" w:ascii="仿宋" w:hAnsi="仿宋" w:eastAsia="仿宋" w:cs="仿宋"/>
          <w:b/>
          <w:sz w:val="32"/>
          <w:szCs w:val="32"/>
        </w:rPr>
        <w:t>国有资产占用使用情况</w:t>
      </w:r>
    </w:p>
    <w:p>
      <w:pPr>
        <w:pStyle w:val="4"/>
        <w:numPr>
          <w:ilvl w:val="0"/>
          <w:numId w:val="0"/>
        </w:numPr>
        <w:spacing w:before="0" w:beforeAutospacing="0" w:after="0" w:afterAutospacing="0"/>
        <w:ind w:leftChars="200" w:firstLine="320" w:firstLineChars="100"/>
        <w:rPr>
          <w:rFonts w:hint="eastAsia" w:ascii="仿宋" w:hAnsi="仿宋" w:eastAsia="仿宋" w:cs="仿宋"/>
          <w:b w:val="0"/>
          <w:bCs/>
          <w:sz w:val="32"/>
          <w:szCs w:val="32"/>
        </w:rPr>
      </w:pPr>
      <w:r>
        <w:rPr>
          <w:rFonts w:hint="eastAsia" w:ascii="仿宋" w:hAnsi="仿宋" w:eastAsia="仿宋" w:cs="仿宋"/>
          <w:b w:val="0"/>
          <w:bCs/>
          <w:sz w:val="32"/>
          <w:szCs w:val="32"/>
        </w:rPr>
        <w:t>截止202</w:t>
      </w:r>
      <w:r>
        <w:rPr>
          <w:rFonts w:hint="eastAsia" w:ascii="仿宋" w:hAnsi="仿宋" w:eastAsia="仿宋" w:cs="仿宋"/>
          <w:b w:val="0"/>
          <w:bCs/>
          <w:sz w:val="32"/>
          <w:szCs w:val="32"/>
          <w:lang w:val="en-US" w:eastAsia="zh-CN"/>
        </w:rPr>
        <w:t>1</w:t>
      </w:r>
      <w:r>
        <w:rPr>
          <w:rFonts w:hint="eastAsia" w:ascii="仿宋" w:hAnsi="仿宋" w:eastAsia="仿宋" w:cs="仿宋"/>
          <w:b w:val="0"/>
          <w:bCs/>
          <w:sz w:val="32"/>
          <w:szCs w:val="32"/>
        </w:rPr>
        <w:t>年12月31日我单位固定资产净额</w:t>
      </w:r>
      <w:r>
        <w:rPr>
          <w:rFonts w:hint="eastAsia" w:ascii="仿宋" w:hAnsi="仿宋" w:eastAsia="仿宋" w:cs="仿宋"/>
          <w:b w:val="0"/>
          <w:bCs/>
          <w:sz w:val="32"/>
          <w:szCs w:val="32"/>
          <w:lang w:val="en-US" w:eastAsia="zh-CN"/>
        </w:rPr>
        <w:t>262</w:t>
      </w:r>
      <w:r>
        <w:rPr>
          <w:rFonts w:hint="eastAsia" w:ascii="仿宋" w:hAnsi="仿宋" w:eastAsia="仿宋" w:cs="仿宋"/>
          <w:b w:val="0"/>
          <w:bCs/>
          <w:sz w:val="32"/>
          <w:szCs w:val="32"/>
        </w:rPr>
        <w:t>万元</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本年度发生固定资产折旧导致净额减少</w:t>
      </w:r>
      <w:r>
        <w:rPr>
          <w:rFonts w:hint="eastAsia" w:ascii="仿宋" w:hAnsi="仿宋" w:eastAsia="仿宋" w:cs="仿宋"/>
          <w:b w:val="0"/>
          <w:bCs/>
          <w:sz w:val="32"/>
          <w:szCs w:val="32"/>
        </w:rPr>
        <w:t>。</w:t>
      </w:r>
    </w:p>
    <w:p>
      <w:pPr>
        <w:pStyle w:val="4"/>
        <w:spacing w:before="0" w:beforeAutospacing="0" w:after="0" w:afterAutospacing="0"/>
        <w:ind w:firstLine="643" w:firstLineChars="200"/>
        <w:rPr>
          <w:rFonts w:hint="eastAsia" w:ascii="仿宋" w:hAnsi="仿宋" w:eastAsia="仿宋" w:cs="仿宋"/>
          <w:b/>
          <w:sz w:val="32"/>
          <w:szCs w:val="32"/>
        </w:rPr>
      </w:pPr>
      <w:r>
        <w:rPr>
          <w:rFonts w:hint="eastAsia" w:ascii="仿宋" w:hAnsi="仿宋" w:eastAsia="仿宋" w:cs="仿宋"/>
          <w:b/>
          <w:sz w:val="32"/>
          <w:szCs w:val="32"/>
        </w:rPr>
        <w:t>八、名词解释</w:t>
      </w:r>
    </w:p>
    <w:p>
      <w:pPr>
        <w:ind w:firstLine="640" w:firstLineChars="200"/>
        <w:jc w:val="left"/>
        <w:rPr>
          <w:rFonts w:hint="eastAsia" w:ascii="仿宋" w:hAnsi="仿宋" w:eastAsia="仿宋" w:cs="仿宋"/>
          <w:sz w:val="32"/>
        </w:rPr>
      </w:pPr>
      <w:r>
        <w:rPr>
          <w:rFonts w:hint="eastAsia" w:ascii="仿宋" w:hAnsi="仿宋" w:eastAsia="仿宋" w:cs="仿宋"/>
          <w:sz w:val="32"/>
        </w:rPr>
        <w:t>1.财政拨款收入：指市级财政当年拨付的资金。</w:t>
      </w:r>
    </w:p>
    <w:p>
      <w:pPr>
        <w:ind w:firstLine="640" w:firstLineChars="200"/>
        <w:jc w:val="left"/>
        <w:rPr>
          <w:rFonts w:hint="eastAsia" w:ascii="仿宋" w:hAnsi="仿宋" w:eastAsia="仿宋" w:cs="仿宋"/>
          <w:sz w:val="32"/>
        </w:rPr>
      </w:pPr>
      <w:r>
        <w:rPr>
          <w:rFonts w:hint="eastAsia" w:ascii="仿宋" w:hAnsi="仿宋" w:eastAsia="仿宋" w:cs="仿宋"/>
          <w:sz w:val="32"/>
        </w:rPr>
        <w:t>2.上级补助收入：指事业单位从主管部门和上级单位取得的非财政补助收入。</w:t>
      </w:r>
    </w:p>
    <w:p>
      <w:pPr>
        <w:ind w:firstLine="640" w:firstLineChars="200"/>
        <w:jc w:val="left"/>
        <w:rPr>
          <w:rFonts w:hint="eastAsia" w:ascii="仿宋" w:hAnsi="仿宋" w:eastAsia="仿宋" w:cs="仿宋"/>
          <w:sz w:val="32"/>
        </w:rPr>
      </w:pPr>
      <w:r>
        <w:rPr>
          <w:rFonts w:hint="eastAsia" w:ascii="仿宋" w:hAnsi="仿宋" w:eastAsia="仿宋" w:cs="仿宋"/>
          <w:sz w:val="32"/>
        </w:rPr>
        <w:t>3.附属单位上缴收入：指已纳入部门预算管理的独立核算的附属单位按照有关规定上缴的收入。</w:t>
      </w:r>
    </w:p>
    <w:p>
      <w:pPr>
        <w:ind w:firstLine="640" w:firstLineChars="200"/>
        <w:jc w:val="left"/>
        <w:rPr>
          <w:rFonts w:hint="eastAsia" w:ascii="仿宋" w:hAnsi="仿宋" w:eastAsia="仿宋" w:cs="仿宋"/>
          <w:sz w:val="32"/>
        </w:rPr>
      </w:pPr>
      <w:r>
        <w:rPr>
          <w:rFonts w:hint="eastAsia" w:ascii="仿宋" w:hAnsi="仿宋" w:eastAsia="仿宋" w:cs="仿宋"/>
          <w:sz w:val="32"/>
        </w:rPr>
        <w:t>4. 其他收入：指除上述“财政拨款收入”、“纳入专户管理的预算外资金拨款”、“上级补助、附属单位上缴收入”以外的收入。</w:t>
      </w:r>
    </w:p>
    <w:p>
      <w:pPr>
        <w:ind w:firstLine="640" w:firstLineChars="200"/>
        <w:jc w:val="left"/>
        <w:rPr>
          <w:rFonts w:hint="eastAsia" w:ascii="仿宋" w:hAnsi="仿宋" w:eastAsia="仿宋" w:cs="仿宋"/>
          <w:sz w:val="32"/>
        </w:rPr>
      </w:pPr>
      <w:r>
        <w:rPr>
          <w:rFonts w:hint="eastAsia" w:ascii="仿宋" w:hAnsi="仿宋" w:eastAsia="仿宋" w:cs="仿宋"/>
          <w:sz w:val="32"/>
        </w:rPr>
        <w:t>5.一般公共服务（类）财政事务（款）行政运行（项）：反映行政单位（包括实行公务员管理的事业单位）的基本支出。</w:t>
      </w:r>
    </w:p>
    <w:p>
      <w:pPr>
        <w:ind w:firstLine="640" w:firstLineChars="200"/>
        <w:jc w:val="left"/>
        <w:rPr>
          <w:rFonts w:hint="eastAsia" w:ascii="仿宋" w:hAnsi="仿宋" w:eastAsia="仿宋" w:cs="仿宋"/>
          <w:sz w:val="32"/>
        </w:rPr>
      </w:pPr>
      <w:r>
        <w:rPr>
          <w:rFonts w:hint="eastAsia" w:ascii="仿宋" w:hAnsi="仿宋" w:eastAsia="仿宋" w:cs="仿宋"/>
          <w:sz w:val="32"/>
        </w:rPr>
        <w:t>6.一般公共服务（类）财政事务（款）一般行政管理事务（项）：反映行政单位（包括实行公务员管理的事业单位）未单独设置项级科目的其他项目支出。</w:t>
      </w:r>
    </w:p>
    <w:p>
      <w:pPr>
        <w:ind w:firstLine="640" w:firstLineChars="200"/>
        <w:jc w:val="left"/>
        <w:rPr>
          <w:rFonts w:hint="eastAsia" w:ascii="仿宋" w:hAnsi="仿宋" w:eastAsia="仿宋" w:cs="仿宋"/>
          <w:sz w:val="32"/>
        </w:rPr>
      </w:pPr>
      <w:r>
        <w:rPr>
          <w:rFonts w:hint="eastAsia" w:ascii="仿宋" w:hAnsi="仿宋" w:eastAsia="仿宋" w:cs="仿宋"/>
          <w:sz w:val="32"/>
        </w:rPr>
        <w:t>7.一般公共服务（类）财政事务（款）预算改革业务（项）：反映财政部门用于预算改革方面的支出。</w:t>
      </w:r>
    </w:p>
    <w:p>
      <w:pPr>
        <w:ind w:firstLine="640" w:firstLineChars="200"/>
        <w:jc w:val="left"/>
        <w:rPr>
          <w:rFonts w:hint="eastAsia" w:ascii="仿宋" w:hAnsi="仿宋" w:eastAsia="仿宋" w:cs="仿宋"/>
          <w:sz w:val="32"/>
        </w:rPr>
      </w:pPr>
      <w:r>
        <w:rPr>
          <w:rFonts w:hint="eastAsia" w:ascii="仿宋" w:hAnsi="仿宋" w:eastAsia="仿宋" w:cs="仿宋"/>
          <w:sz w:val="32"/>
        </w:rPr>
        <w:t>8.一般公共服务（类）财政事务（款）财政国库业务（项）：反映财政部门用于财政国库集中收付业务方面的支出。</w:t>
      </w:r>
    </w:p>
    <w:p>
      <w:pPr>
        <w:ind w:firstLine="640" w:firstLineChars="200"/>
        <w:jc w:val="left"/>
        <w:rPr>
          <w:rFonts w:hint="eastAsia" w:ascii="仿宋" w:hAnsi="仿宋" w:eastAsia="仿宋" w:cs="仿宋"/>
          <w:sz w:val="32"/>
        </w:rPr>
      </w:pPr>
      <w:r>
        <w:rPr>
          <w:rFonts w:hint="eastAsia" w:ascii="仿宋" w:hAnsi="仿宋" w:eastAsia="仿宋" w:cs="仿宋"/>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hint="eastAsia" w:ascii="仿宋" w:hAnsi="仿宋" w:eastAsia="仿宋" w:cs="仿宋"/>
          <w:sz w:val="32"/>
        </w:rPr>
      </w:pPr>
      <w:r>
        <w:rPr>
          <w:rFonts w:hint="eastAsia" w:ascii="仿宋" w:hAnsi="仿宋" w:eastAsia="仿宋" w:cs="仿宋"/>
          <w:sz w:val="32"/>
        </w:rPr>
        <w:t>10.一般公共服务（类）财政事务（款）其他财政事务支出（项）：反映除上述项目以外其他财政事务方面的支出。</w:t>
      </w:r>
    </w:p>
    <w:p>
      <w:pPr>
        <w:ind w:firstLine="640" w:firstLineChars="200"/>
        <w:jc w:val="left"/>
        <w:rPr>
          <w:rFonts w:hint="eastAsia" w:ascii="仿宋" w:hAnsi="仿宋" w:eastAsia="仿宋" w:cs="仿宋"/>
          <w:sz w:val="32"/>
        </w:rPr>
      </w:pPr>
      <w:r>
        <w:rPr>
          <w:rFonts w:hint="eastAsia" w:ascii="仿宋" w:hAnsi="仿宋" w:eastAsia="仿宋" w:cs="仿宋"/>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hint="eastAsia" w:ascii="仿宋" w:hAnsi="仿宋" w:eastAsia="仿宋" w:cs="仿宋"/>
          <w:sz w:val="32"/>
        </w:rPr>
      </w:pPr>
      <w:r>
        <w:rPr>
          <w:rFonts w:hint="eastAsia" w:ascii="仿宋" w:hAnsi="仿宋" w:eastAsia="仿宋" w:cs="仿宋"/>
          <w:sz w:val="32"/>
        </w:rPr>
        <w:t>12.社会保障和就业（类）行政事业单位离退休（款）事业单位离退休（项）：反映实行归口管理的事业单位开支的离退休经费。</w:t>
      </w:r>
    </w:p>
    <w:p>
      <w:pPr>
        <w:ind w:firstLine="640" w:firstLineChars="200"/>
        <w:jc w:val="left"/>
        <w:rPr>
          <w:rFonts w:hint="eastAsia" w:ascii="仿宋" w:hAnsi="仿宋" w:eastAsia="仿宋" w:cs="仿宋"/>
          <w:sz w:val="32"/>
        </w:rPr>
      </w:pPr>
      <w:r>
        <w:rPr>
          <w:rFonts w:hint="eastAsia" w:ascii="仿宋" w:hAnsi="仿宋" w:eastAsia="仿宋" w:cs="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hint="eastAsia" w:ascii="仿宋" w:hAnsi="仿宋" w:eastAsia="仿宋" w:cs="仿宋"/>
          <w:sz w:val="32"/>
        </w:rPr>
      </w:pPr>
      <w:r>
        <w:rPr>
          <w:rFonts w:hint="eastAsia" w:ascii="仿宋" w:hAnsi="仿宋" w:eastAsia="仿宋" w:cs="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hint="eastAsia" w:ascii="仿宋" w:hAnsi="仿宋" w:eastAsia="仿宋" w:cs="仿宋"/>
          <w:sz w:val="32"/>
        </w:rPr>
      </w:pPr>
      <w:r>
        <w:rPr>
          <w:rFonts w:hint="eastAsia" w:ascii="仿宋" w:hAnsi="仿宋" w:eastAsia="仿宋" w:cs="仿宋"/>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hint="eastAsia" w:ascii="仿宋" w:hAnsi="仿宋" w:eastAsia="仿宋" w:cs="仿宋"/>
          <w:sz w:val="32"/>
        </w:rPr>
      </w:pPr>
      <w:r>
        <w:rPr>
          <w:rFonts w:hint="eastAsia" w:ascii="仿宋" w:hAnsi="仿宋" w:eastAsia="仿宋" w:cs="仿宋"/>
          <w:sz w:val="32"/>
        </w:rPr>
        <w:t>16. 基本支出：指保障机构正常运转、完成日常工作任务而发生的人员支出和公用支出。</w:t>
      </w:r>
    </w:p>
    <w:p>
      <w:pPr>
        <w:ind w:firstLine="640" w:firstLineChars="200"/>
        <w:jc w:val="left"/>
        <w:rPr>
          <w:rFonts w:hint="eastAsia" w:ascii="仿宋" w:hAnsi="仿宋" w:eastAsia="仿宋" w:cs="仿宋"/>
          <w:sz w:val="32"/>
        </w:rPr>
      </w:pPr>
      <w:r>
        <w:rPr>
          <w:rFonts w:hint="eastAsia" w:ascii="仿宋" w:hAnsi="仿宋" w:eastAsia="仿宋" w:cs="仿宋"/>
          <w:sz w:val="32"/>
        </w:rPr>
        <w:t>17. 项目支出：指在基本支出之外为完成特定行政任务和事业发展目标所发生的支出。</w:t>
      </w:r>
    </w:p>
    <w:p>
      <w:pPr>
        <w:ind w:firstLine="640" w:firstLineChars="200"/>
        <w:jc w:val="left"/>
        <w:rPr>
          <w:rFonts w:hint="eastAsia" w:ascii="仿宋" w:hAnsi="仿宋" w:eastAsia="仿宋" w:cs="仿宋"/>
          <w:sz w:val="32"/>
        </w:rPr>
      </w:pPr>
      <w:r>
        <w:rPr>
          <w:rFonts w:hint="eastAsia" w:ascii="仿宋" w:hAnsi="仿宋" w:eastAsia="仿宋" w:cs="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 w:hAnsi="仿宋" w:eastAsia="仿宋" w:cs="仿宋"/>
          <w:sz w:val="32"/>
        </w:rPr>
      </w:pPr>
      <w:r>
        <w:rPr>
          <w:rFonts w:hint="eastAsia" w:ascii="仿宋" w:hAnsi="仿宋" w:eastAsia="仿宋" w:cs="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jc w:val="left"/>
        <w:rPr>
          <w:rFonts w:hint="eastAsia" w:ascii="仿宋" w:hAnsi="仿宋" w:eastAsia="仿宋" w:cs="仿宋"/>
          <w:sz w:val="32"/>
        </w:rPr>
      </w:pPr>
    </w:p>
    <w:p>
      <w:pPr>
        <w:ind w:firstLine="640" w:firstLineChars="200"/>
        <w:jc w:val="left"/>
        <w:rPr>
          <w:rFonts w:hint="eastAsia" w:ascii="仿宋" w:hAnsi="仿宋" w:eastAsia="仿宋" w:cs="仿宋"/>
          <w:sz w:val="32"/>
        </w:rPr>
      </w:pPr>
    </w:p>
    <w:p>
      <w:pPr>
        <w:wordWrap w:val="0"/>
        <w:ind w:firstLine="640" w:firstLineChars="200"/>
        <w:jc w:val="right"/>
        <w:rPr>
          <w:rFonts w:hint="eastAsia" w:ascii="仿宋" w:hAnsi="仿宋" w:eastAsia="仿宋" w:cs="仿宋"/>
          <w:sz w:val="32"/>
          <w:lang w:val="en-US" w:eastAsia="zh-CN"/>
        </w:rPr>
      </w:pPr>
      <w:r>
        <w:rPr>
          <w:rFonts w:hint="eastAsia" w:ascii="仿宋" w:hAnsi="仿宋" w:eastAsia="仿宋" w:cs="仿宋"/>
          <w:sz w:val="32"/>
          <w:lang w:val="en-US" w:eastAsia="zh-CN"/>
        </w:rPr>
        <w:t xml:space="preserve">    </w:t>
      </w:r>
    </w:p>
    <w:p>
      <w:pPr>
        <w:ind w:firstLine="640" w:firstLineChars="200"/>
        <w:jc w:val="left"/>
        <w:rPr>
          <w:rFonts w:hint="eastAsia" w:ascii="仿宋" w:hAnsi="仿宋" w:eastAsia="仿宋" w:cs="仿宋"/>
          <w:sz w:val="32"/>
          <w:lang w:val="en-US" w:eastAsia="zh-CN"/>
        </w:rPr>
      </w:pPr>
    </w:p>
    <w:p>
      <w:pPr>
        <w:spacing w:line="560" w:lineRule="exact"/>
        <w:ind w:firstLine="640" w:firstLineChars="200"/>
        <w:rPr>
          <w:rFonts w:hint="eastAsia" w:ascii="仿宋" w:hAnsi="仿宋" w:eastAsia="仿宋" w:cs="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D5AA6"/>
    <w:multiLevelType w:val="singleLevel"/>
    <w:tmpl w:val="8D9D5AA6"/>
    <w:lvl w:ilvl="0" w:tentative="0">
      <w:start w:val="1"/>
      <w:numFmt w:val="decimal"/>
      <w:suff w:val="nothing"/>
      <w:lvlText w:val="%1、"/>
      <w:lvlJc w:val="left"/>
    </w:lvl>
  </w:abstractNum>
  <w:abstractNum w:abstractNumId="1">
    <w:nsid w:val="D0D47453"/>
    <w:multiLevelType w:val="singleLevel"/>
    <w:tmpl w:val="D0D47453"/>
    <w:lvl w:ilvl="0" w:tentative="0">
      <w:start w:val="1"/>
      <w:numFmt w:val="chineseCounting"/>
      <w:suff w:val="nothing"/>
      <w:lvlText w:val="%1、"/>
      <w:lvlJc w:val="left"/>
      <w:rPr>
        <w:rFonts w:hint="eastAsia"/>
      </w:rPr>
    </w:lvl>
  </w:abstractNum>
  <w:abstractNum w:abstractNumId="2">
    <w:nsid w:val="5FB72ADF"/>
    <w:multiLevelType w:val="singleLevel"/>
    <w:tmpl w:val="5FB72ADF"/>
    <w:lvl w:ilvl="0" w:tentative="0">
      <w:start w:val="5"/>
      <w:numFmt w:val="chineseCounting"/>
      <w:suff w:val="nothing"/>
      <w:lvlText w:val="%1、"/>
      <w:lvlJc w:val="left"/>
      <w:rPr>
        <w:rFonts w:hint="eastAsia"/>
      </w:rPr>
    </w:lvl>
  </w:abstractNum>
  <w:abstractNum w:abstractNumId="3">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lNDBhYjk1NGI1MWE0NmY0Yjc4YjNjNmFhZDhkYTYifQ=="/>
  </w:docVars>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62552"/>
    <w:rsid w:val="00063CCB"/>
    <w:rsid w:val="000657CF"/>
    <w:rsid w:val="00067207"/>
    <w:rsid w:val="00071928"/>
    <w:rsid w:val="00071AED"/>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069F"/>
    <w:rsid w:val="00123338"/>
    <w:rsid w:val="00127FF9"/>
    <w:rsid w:val="0013276F"/>
    <w:rsid w:val="001340D6"/>
    <w:rsid w:val="00134A51"/>
    <w:rsid w:val="0014240E"/>
    <w:rsid w:val="00142F1A"/>
    <w:rsid w:val="0014458B"/>
    <w:rsid w:val="001477EA"/>
    <w:rsid w:val="00147DA0"/>
    <w:rsid w:val="001503FE"/>
    <w:rsid w:val="00165774"/>
    <w:rsid w:val="00165D26"/>
    <w:rsid w:val="00167C66"/>
    <w:rsid w:val="00174499"/>
    <w:rsid w:val="00175E0D"/>
    <w:rsid w:val="001773D0"/>
    <w:rsid w:val="00181A83"/>
    <w:rsid w:val="00185F4F"/>
    <w:rsid w:val="00186F1A"/>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0FF"/>
    <w:rsid w:val="002E21BB"/>
    <w:rsid w:val="002E63E5"/>
    <w:rsid w:val="002E662E"/>
    <w:rsid w:val="002F03A6"/>
    <w:rsid w:val="002F548C"/>
    <w:rsid w:val="00302442"/>
    <w:rsid w:val="00307E48"/>
    <w:rsid w:val="003102D2"/>
    <w:rsid w:val="00312005"/>
    <w:rsid w:val="00317722"/>
    <w:rsid w:val="003431D9"/>
    <w:rsid w:val="00344200"/>
    <w:rsid w:val="00350B20"/>
    <w:rsid w:val="00351CC3"/>
    <w:rsid w:val="00353B78"/>
    <w:rsid w:val="0037218F"/>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C747E"/>
    <w:rsid w:val="003D23A0"/>
    <w:rsid w:val="003D520E"/>
    <w:rsid w:val="003D65C9"/>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64E9"/>
    <w:rsid w:val="00477255"/>
    <w:rsid w:val="00480066"/>
    <w:rsid w:val="004856E0"/>
    <w:rsid w:val="004857ED"/>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6C74"/>
    <w:rsid w:val="004D750B"/>
    <w:rsid w:val="004E511B"/>
    <w:rsid w:val="004E5CC5"/>
    <w:rsid w:val="004F2A7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1E96"/>
    <w:rsid w:val="005B7609"/>
    <w:rsid w:val="005B7E01"/>
    <w:rsid w:val="005C0A43"/>
    <w:rsid w:val="005D1909"/>
    <w:rsid w:val="005D1948"/>
    <w:rsid w:val="005D4719"/>
    <w:rsid w:val="005D5C6D"/>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2942"/>
    <w:rsid w:val="00673958"/>
    <w:rsid w:val="00674CFF"/>
    <w:rsid w:val="006753E5"/>
    <w:rsid w:val="00677C08"/>
    <w:rsid w:val="006814DA"/>
    <w:rsid w:val="006834A6"/>
    <w:rsid w:val="0068367E"/>
    <w:rsid w:val="006836CF"/>
    <w:rsid w:val="0068496E"/>
    <w:rsid w:val="00685C32"/>
    <w:rsid w:val="00686FC1"/>
    <w:rsid w:val="0069162D"/>
    <w:rsid w:val="0069229F"/>
    <w:rsid w:val="006932D6"/>
    <w:rsid w:val="006950BA"/>
    <w:rsid w:val="00695E6C"/>
    <w:rsid w:val="00696767"/>
    <w:rsid w:val="006973E7"/>
    <w:rsid w:val="006A1F87"/>
    <w:rsid w:val="006A5B5C"/>
    <w:rsid w:val="006A758A"/>
    <w:rsid w:val="006B15D4"/>
    <w:rsid w:val="006B5178"/>
    <w:rsid w:val="006B72AB"/>
    <w:rsid w:val="006B77CD"/>
    <w:rsid w:val="006B7863"/>
    <w:rsid w:val="006D3940"/>
    <w:rsid w:val="006E0A3B"/>
    <w:rsid w:val="006E362C"/>
    <w:rsid w:val="006F038B"/>
    <w:rsid w:val="00702735"/>
    <w:rsid w:val="007037EC"/>
    <w:rsid w:val="00705759"/>
    <w:rsid w:val="00705F86"/>
    <w:rsid w:val="007061AC"/>
    <w:rsid w:val="00712BBC"/>
    <w:rsid w:val="007151DC"/>
    <w:rsid w:val="007174D9"/>
    <w:rsid w:val="00722A9D"/>
    <w:rsid w:val="00726D67"/>
    <w:rsid w:val="00727E42"/>
    <w:rsid w:val="00732A83"/>
    <w:rsid w:val="00735A2C"/>
    <w:rsid w:val="00740BE8"/>
    <w:rsid w:val="00740F87"/>
    <w:rsid w:val="00740F8B"/>
    <w:rsid w:val="00750753"/>
    <w:rsid w:val="00751D2D"/>
    <w:rsid w:val="0075265C"/>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53A6"/>
    <w:rsid w:val="008E63A6"/>
    <w:rsid w:val="008F4391"/>
    <w:rsid w:val="008F62F5"/>
    <w:rsid w:val="00903414"/>
    <w:rsid w:val="0090377A"/>
    <w:rsid w:val="00906158"/>
    <w:rsid w:val="00913CDD"/>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5360"/>
    <w:rsid w:val="009D7B94"/>
    <w:rsid w:val="009E3C94"/>
    <w:rsid w:val="009F0C16"/>
    <w:rsid w:val="009F789C"/>
    <w:rsid w:val="00A06B0B"/>
    <w:rsid w:val="00A11169"/>
    <w:rsid w:val="00A12D94"/>
    <w:rsid w:val="00A14724"/>
    <w:rsid w:val="00A15ECE"/>
    <w:rsid w:val="00A17934"/>
    <w:rsid w:val="00A2305A"/>
    <w:rsid w:val="00A268F4"/>
    <w:rsid w:val="00A269CE"/>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25570"/>
    <w:rsid w:val="00B30C9A"/>
    <w:rsid w:val="00B34879"/>
    <w:rsid w:val="00B34A2A"/>
    <w:rsid w:val="00B43BA5"/>
    <w:rsid w:val="00B511EC"/>
    <w:rsid w:val="00B529BB"/>
    <w:rsid w:val="00B53057"/>
    <w:rsid w:val="00B55513"/>
    <w:rsid w:val="00B56EBD"/>
    <w:rsid w:val="00B577EC"/>
    <w:rsid w:val="00B607DF"/>
    <w:rsid w:val="00B61BFF"/>
    <w:rsid w:val="00B678B6"/>
    <w:rsid w:val="00B70838"/>
    <w:rsid w:val="00B73877"/>
    <w:rsid w:val="00B760C2"/>
    <w:rsid w:val="00B800FF"/>
    <w:rsid w:val="00B825FD"/>
    <w:rsid w:val="00B8608F"/>
    <w:rsid w:val="00B91562"/>
    <w:rsid w:val="00B91A4F"/>
    <w:rsid w:val="00BA5D9F"/>
    <w:rsid w:val="00BB2E09"/>
    <w:rsid w:val="00BB4283"/>
    <w:rsid w:val="00BB601D"/>
    <w:rsid w:val="00BC4200"/>
    <w:rsid w:val="00BD0008"/>
    <w:rsid w:val="00BD075F"/>
    <w:rsid w:val="00BD0FF0"/>
    <w:rsid w:val="00BF0820"/>
    <w:rsid w:val="00BF1C43"/>
    <w:rsid w:val="00BF1F61"/>
    <w:rsid w:val="00BF491F"/>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B40"/>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83718"/>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7A82"/>
    <w:rsid w:val="00E179E3"/>
    <w:rsid w:val="00E21929"/>
    <w:rsid w:val="00E262DD"/>
    <w:rsid w:val="00E26581"/>
    <w:rsid w:val="00E30FC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A506A"/>
    <w:rsid w:val="00EB186C"/>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64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46C7"/>
    <w:rsid w:val="00FE5BAA"/>
    <w:rsid w:val="00FE7C26"/>
    <w:rsid w:val="00FF552C"/>
    <w:rsid w:val="00FF6584"/>
    <w:rsid w:val="00FF77F6"/>
    <w:rsid w:val="00FF7B1D"/>
    <w:rsid w:val="07F21803"/>
    <w:rsid w:val="0A2D7703"/>
    <w:rsid w:val="0C3315C4"/>
    <w:rsid w:val="10310216"/>
    <w:rsid w:val="11DC545E"/>
    <w:rsid w:val="14A97CD6"/>
    <w:rsid w:val="1A4145DE"/>
    <w:rsid w:val="1AC9700C"/>
    <w:rsid w:val="1D8B04DC"/>
    <w:rsid w:val="1F846DA3"/>
    <w:rsid w:val="27793864"/>
    <w:rsid w:val="287A4DDB"/>
    <w:rsid w:val="2E29150B"/>
    <w:rsid w:val="2ED23F9E"/>
    <w:rsid w:val="374A7C8C"/>
    <w:rsid w:val="398137DE"/>
    <w:rsid w:val="399D69C5"/>
    <w:rsid w:val="3B6A2AE8"/>
    <w:rsid w:val="41290A8D"/>
    <w:rsid w:val="46C31CE0"/>
    <w:rsid w:val="493025AB"/>
    <w:rsid w:val="4D79563B"/>
    <w:rsid w:val="4EDD395C"/>
    <w:rsid w:val="5A364443"/>
    <w:rsid w:val="5A4743FD"/>
    <w:rsid w:val="5C8A3BCE"/>
    <w:rsid w:val="5EB542DC"/>
    <w:rsid w:val="69FB3AF5"/>
    <w:rsid w:val="71DB733D"/>
    <w:rsid w:val="74B87324"/>
    <w:rsid w:val="7D011C57"/>
    <w:rsid w:val="7D8524FA"/>
    <w:rsid w:val="7DA7449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uiPriority w:val="0"/>
    <w:rPr>
      <w:i/>
    </w:rPr>
  </w:style>
  <w:style w:type="character" w:customStyle="1" w:styleId="8">
    <w:name w:val="页脚 Char"/>
    <w:basedOn w:val="6"/>
    <w:link w:val="2"/>
    <w:semiHidden/>
    <w:uiPriority w:val="99"/>
    <w:rPr>
      <w:kern w:val="2"/>
      <w:sz w:val="18"/>
      <w:szCs w:val="18"/>
    </w:rPr>
  </w:style>
  <w:style w:type="character" w:customStyle="1" w:styleId="9">
    <w:name w:val="页眉 Char"/>
    <w:basedOn w:val="6"/>
    <w:link w:val="3"/>
    <w:semiHidden/>
    <w:uiPriority w:val="99"/>
    <w:rPr>
      <w:kern w:val="2"/>
      <w:sz w:val="18"/>
      <w:szCs w:val="18"/>
    </w:rPr>
  </w:style>
  <w:style w:type="paragraph" w:styleId="10">
    <w:name w:val="List Paragraph"/>
    <w:basedOn w:val="1"/>
    <w:qFormat/>
    <w:uiPriority w:val="34"/>
    <w:pPr>
      <w:ind w:firstLine="420" w:firstLineChars="200"/>
    </w:pPr>
  </w:style>
  <w:style w:type="paragraph" w:customStyle="1" w:styleId="11">
    <w:name w:val="正文 A"/>
    <w:qFormat/>
    <w:uiPriority w:val="0"/>
    <w:pPr>
      <w:framePr w:wrap="around" w:vAnchor="margin" w:hAnchor="text" w:yAlign="top"/>
      <w:widowControl w:val="0"/>
      <w:jc w:val="both"/>
    </w:pPr>
    <w:rPr>
      <w:rFonts w:ascii="Calibri" w:hAnsi="Calibri" w:eastAsia="Calibri" w:cs="Calibri"/>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3144</Words>
  <Characters>3260</Characters>
  <Lines>13</Lines>
  <Paragraphs>3</Paragraphs>
  <TotalTime>1</TotalTime>
  <ScaleCrop>false</ScaleCrop>
  <LinksUpToDate>false</LinksUpToDate>
  <CharactersWithSpaces>3288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2019-01-22T02:19:00Z</dcterms:created>
  <dc:creator>Administrator</dc:creator>
  <cp:lastModifiedBy>6⃣</cp:lastModifiedBy>
  <cp:lastPrinted>2023-05-18T02:15:00Z</cp:lastPrinted>
  <dcterms:modified xsi:type="dcterms:W3CDTF">2023-08-08T07:10:25Z</dcterms:modified>
  <dc:title>XXX（填单位全称）2018年预算公开说明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E06629865CE64FD0823392BF59660AD4_13</vt:lpwstr>
  </property>
</Properties>
</file>