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s="宋体"/>
          <w:b/>
          <w:sz w:val="44"/>
          <w:szCs w:val="44"/>
        </w:rPr>
      </w:pPr>
    </w:p>
    <w:p>
      <w:pPr>
        <w:jc w:val="center"/>
        <w:rPr>
          <w:rFonts w:hint="eastAsia" w:ascii="宋体" w:hAnsi="宋体" w:cs="宋体"/>
          <w:b/>
          <w:sz w:val="44"/>
          <w:szCs w:val="44"/>
        </w:rPr>
      </w:pPr>
    </w:p>
    <w:p>
      <w:pPr>
        <w:jc w:val="center"/>
        <w:rPr>
          <w:rFonts w:hint="eastAsia" w:ascii="宋体" w:hAnsi="宋体" w:cs="宋体"/>
          <w:b/>
          <w:sz w:val="44"/>
          <w:szCs w:val="44"/>
        </w:rPr>
      </w:pPr>
    </w:p>
    <w:p>
      <w:pPr>
        <w:jc w:val="center"/>
        <w:rPr>
          <w:rFonts w:hint="eastAsia" w:ascii="宋体" w:hAnsi="宋体" w:cs="宋体"/>
          <w:b/>
          <w:sz w:val="44"/>
          <w:szCs w:val="44"/>
        </w:rPr>
      </w:pPr>
    </w:p>
    <w:p>
      <w:pPr>
        <w:jc w:val="center"/>
        <w:rPr>
          <w:rFonts w:hint="eastAsia" w:ascii="宋体" w:hAnsi="宋体" w:cs="宋体"/>
          <w:b/>
          <w:sz w:val="44"/>
          <w:szCs w:val="44"/>
        </w:rPr>
      </w:pPr>
    </w:p>
    <w:p>
      <w:pPr>
        <w:jc w:val="center"/>
        <w:rPr>
          <w:rFonts w:hint="eastAsia" w:ascii="宋体" w:hAnsi="宋体" w:cs="宋体"/>
          <w:b/>
          <w:sz w:val="44"/>
          <w:szCs w:val="44"/>
        </w:rPr>
      </w:pPr>
    </w:p>
    <w:p>
      <w:pPr>
        <w:jc w:val="center"/>
        <w:rPr>
          <w:rFonts w:hint="eastAsia" w:ascii="宋体" w:hAnsi="宋体" w:cs="宋体"/>
          <w:b/>
          <w:sz w:val="44"/>
          <w:szCs w:val="44"/>
        </w:rPr>
      </w:pPr>
    </w:p>
    <w:p>
      <w:pPr>
        <w:jc w:val="center"/>
        <w:rPr>
          <w:rFonts w:hint="eastAsia" w:ascii="宋体" w:hAnsi="宋体" w:cs="宋体"/>
          <w:b/>
          <w:sz w:val="44"/>
          <w:szCs w:val="44"/>
        </w:rPr>
      </w:pPr>
    </w:p>
    <w:p>
      <w:pPr>
        <w:jc w:val="center"/>
        <w:rPr>
          <w:rFonts w:hint="eastAsia" w:ascii="宋体" w:hAnsi="宋体" w:cs="宋体"/>
          <w:b/>
          <w:sz w:val="44"/>
          <w:szCs w:val="44"/>
        </w:rPr>
      </w:pPr>
    </w:p>
    <w:p>
      <w:pPr>
        <w:jc w:val="center"/>
        <w:rPr>
          <w:rFonts w:hint="eastAsia" w:ascii="宋体" w:hAnsi="宋体" w:cs="宋体"/>
          <w:b/>
          <w:sz w:val="44"/>
          <w:szCs w:val="44"/>
        </w:rPr>
      </w:pPr>
    </w:p>
    <w:p>
      <w:pPr>
        <w:jc w:val="center"/>
        <w:rPr>
          <w:rFonts w:hint="eastAsia" w:ascii="宋体" w:hAnsi="宋体" w:cs="宋体"/>
          <w:b/>
          <w:sz w:val="44"/>
          <w:szCs w:val="44"/>
        </w:rPr>
      </w:pPr>
    </w:p>
    <w:p>
      <w:pPr>
        <w:jc w:val="center"/>
        <w:rPr>
          <w:rFonts w:hint="eastAsia" w:ascii="宋体" w:hAnsi="宋体" w:cs="宋体"/>
          <w:b/>
          <w:sz w:val="44"/>
          <w:szCs w:val="44"/>
        </w:rPr>
      </w:pPr>
    </w:p>
    <w:p>
      <w:pPr>
        <w:jc w:val="center"/>
        <w:rPr>
          <w:rFonts w:hint="eastAsia"/>
          <w:b/>
          <w:sz w:val="44"/>
          <w:szCs w:val="44"/>
        </w:rPr>
      </w:pPr>
      <w:r>
        <w:rPr>
          <w:rFonts w:hint="eastAsia" w:ascii="宋体" w:hAnsi="宋体" w:cs="宋体"/>
          <w:b/>
          <w:sz w:val="44"/>
          <w:szCs w:val="44"/>
        </w:rPr>
        <w:t>中共康平县委组织部202</w:t>
      </w:r>
      <w:r>
        <w:rPr>
          <w:rFonts w:hint="eastAsia" w:ascii="宋体" w:hAnsi="宋体" w:cs="宋体"/>
          <w:b/>
          <w:sz w:val="44"/>
          <w:szCs w:val="44"/>
          <w:lang w:val="en-US" w:eastAsia="zh-CN"/>
        </w:rPr>
        <w:t>2</w:t>
      </w:r>
      <w:r>
        <w:rPr>
          <w:rFonts w:hint="eastAsia" w:ascii="宋体" w:hAnsi="宋体" w:cs="宋体"/>
          <w:b/>
          <w:sz w:val="44"/>
          <w:szCs w:val="44"/>
        </w:rPr>
        <w:t>年预算公开说明</w:t>
      </w:r>
    </w:p>
    <w:p>
      <w:pPr>
        <w:jc w:val="center"/>
        <w:rPr>
          <w:rFonts w:hint="eastAsia" w:ascii="Calibri" w:hAnsi="Calibri"/>
          <w:b/>
          <w:sz w:val="44"/>
          <w:szCs w:val="44"/>
        </w:rPr>
      </w:pPr>
    </w:p>
    <w:p>
      <w:pPr>
        <w:jc w:val="center"/>
        <w:rPr>
          <w:rFonts w:hint="eastAsia" w:ascii="Calibri" w:hAnsi="Calibri"/>
          <w:b/>
          <w:sz w:val="44"/>
          <w:szCs w:val="44"/>
        </w:rPr>
      </w:pPr>
    </w:p>
    <w:p>
      <w:pPr>
        <w:jc w:val="center"/>
        <w:rPr>
          <w:rFonts w:hint="eastAsia" w:ascii="Calibri" w:hAnsi="Calibri"/>
          <w:b/>
          <w:sz w:val="44"/>
          <w:szCs w:val="44"/>
        </w:rPr>
      </w:pPr>
    </w:p>
    <w:p>
      <w:pPr>
        <w:jc w:val="center"/>
        <w:rPr>
          <w:rFonts w:hint="eastAsia" w:ascii="Calibri" w:hAnsi="Calibri"/>
          <w:b/>
          <w:sz w:val="44"/>
          <w:szCs w:val="44"/>
        </w:rPr>
      </w:pPr>
    </w:p>
    <w:p>
      <w:pPr>
        <w:jc w:val="center"/>
        <w:rPr>
          <w:rFonts w:hint="eastAsia" w:ascii="Calibri" w:hAnsi="Calibri"/>
          <w:b/>
          <w:sz w:val="44"/>
          <w:szCs w:val="44"/>
        </w:rPr>
      </w:pPr>
    </w:p>
    <w:p>
      <w:pPr>
        <w:jc w:val="center"/>
        <w:rPr>
          <w:rFonts w:hint="eastAsia" w:ascii="Calibri" w:hAnsi="Calibri"/>
          <w:b/>
          <w:sz w:val="44"/>
          <w:szCs w:val="44"/>
        </w:rPr>
      </w:pPr>
    </w:p>
    <w:p>
      <w:pPr>
        <w:jc w:val="center"/>
        <w:rPr>
          <w:rFonts w:hint="eastAsia" w:ascii="Calibri" w:hAnsi="Calibri"/>
          <w:b/>
          <w:sz w:val="44"/>
          <w:szCs w:val="44"/>
        </w:rPr>
      </w:pPr>
    </w:p>
    <w:p>
      <w:pPr>
        <w:jc w:val="center"/>
        <w:rPr>
          <w:rFonts w:hint="eastAsia" w:ascii="Calibri" w:hAnsi="Calibri"/>
          <w:b/>
          <w:sz w:val="44"/>
          <w:szCs w:val="44"/>
        </w:rPr>
      </w:pPr>
    </w:p>
    <w:p>
      <w:pPr>
        <w:jc w:val="center"/>
        <w:rPr>
          <w:rFonts w:hint="eastAsia" w:ascii="Calibri" w:hAnsi="Calibri"/>
          <w:b/>
          <w:sz w:val="44"/>
          <w:szCs w:val="44"/>
        </w:rPr>
      </w:pPr>
    </w:p>
    <w:p>
      <w:pPr>
        <w:jc w:val="left"/>
        <w:rPr>
          <w:rFonts w:hint="eastAsia" w:ascii="Calibri" w:hAnsi="Calibri"/>
          <w:b/>
          <w:sz w:val="32"/>
          <w:szCs w:val="32"/>
        </w:rPr>
      </w:pPr>
      <w:r>
        <w:rPr>
          <w:rFonts w:hint="eastAsia" w:ascii="Calibri" w:hAnsi="Calibri"/>
          <w:b/>
          <w:sz w:val="44"/>
          <w:szCs w:val="44"/>
        </w:rPr>
        <w:t>目录</w:t>
      </w:r>
    </w:p>
    <w:p>
      <w:pPr>
        <w:jc w:val="left"/>
        <w:rPr>
          <w:rFonts w:hint="eastAsia" w:ascii="Calibri" w:hAnsi="Calibri"/>
          <w:b/>
          <w:sz w:val="32"/>
          <w:szCs w:val="32"/>
        </w:rPr>
      </w:pPr>
      <w:r>
        <w:rPr>
          <w:rFonts w:hint="eastAsia" w:ascii="Calibri" w:hAnsi="Calibri"/>
          <w:b/>
          <w:sz w:val="32"/>
          <w:szCs w:val="32"/>
        </w:rPr>
        <w:t>第一部分</w:t>
      </w:r>
      <w:r>
        <w:rPr>
          <w:rFonts w:hint="eastAsia" w:ascii="Calibri" w:hAnsi="Calibri"/>
          <w:b/>
          <w:sz w:val="32"/>
          <w:szCs w:val="32"/>
          <w:lang w:val="en-US" w:eastAsia="zh-CN"/>
        </w:rPr>
        <w:t xml:space="preserve">    </w:t>
      </w:r>
      <w:r>
        <w:rPr>
          <w:rFonts w:hint="eastAsia" w:ascii="Calibri" w:hAnsi="Calibri"/>
          <w:b/>
          <w:sz w:val="32"/>
          <w:szCs w:val="32"/>
        </w:rPr>
        <w:t>部门主要职责及机构设置情况</w:t>
      </w:r>
    </w:p>
    <w:p>
      <w:pPr>
        <w:jc w:val="left"/>
        <w:rPr>
          <w:rFonts w:hint="eastAsia" w:ascii="Calibri" w:hAnsi="Calibri"/>
          <w:b/>
          <w:sz w:val="32"/>
          <w:szCs w:val="32"/>
        </w:rPr>
      </w:pPr>
      <w:r>
        <w:rPr>
          <w:rFonts w:hint="eastAsia" w:ascii="Calibri" w:hAnsi="Calibri"/>
          <w:b/>
          <w:sz w:val="32"/>
          <w:szCs w:val="32"/>
        </w:rPr>
        <w:t>第二部分</w:t>
      </w:r>
      <w:r>
        <w:rPr>
          <w:rFonts w:hint="eastAsia" w:ascii="Calibri" w:hAnsi="Calibri"/>
          <w:b/>
          <w:sz w:val="32"/>
          <w:szCs w:val="32"/>
          <w:lang w:val="en-US" w:eastAsia="zh-CN"/>
        </w:rPr>
        <w:t xml:space="preserve">    </w:t>
      </w:r>
      <w:r>
        <w:rPr>
          <w:rFonts w:hint="eastAsia" w:ascii="Calibri" w:hAnsi="Calibri"/>
          <w:b/>
          <w:sz w:val="32"/>
          <w:szCs w:val="32"/>
        </w:rPr>
        <w:t>中共康平县委组织部2022年单位预算公开表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表１.收支预算总表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表２.收入预算总表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表３.支出预算总表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表４.财政拨款收支预算总表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表５.一般公共预算支出表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表６.一般公共预算基本支出表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表７.一般公共预算“三公”经费支出表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表８.政府性基金预算支出表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表９.项目支出预算表</w:t>
      </w:r>
    </w:p>
    <w:p>
      <w:pPr>
        <w:jc w:val="left"/>
        <w:rPr>
          <w:rFonts w:hint="eastAsia" w:ascii="仿宋_GB2312" w:hAnsi="Calibri" w:eastAsia="仿宋_GB2312"/>
          <w:b/>
          <w:sz w:val="32"/>
          <w:szCs w:val="32"/>
        </w:rPr>
      </w:pPr>
      <w:r>
        <w:rPr>
          <w:rFonts w:hint="eastAsia" w:ascii="仿宋_GB2312" w:hAnsi="Calibri" w:eastAsia="仿宋_GB2312"/>
          <w:b/>
          <w:sz w:val="32"/>
          <w:szCs w:val="32"/>
        </w:rPr>
        <w:t>表10.支出功能分类预算表</w:t>
      </w:r>
    </w:p>
    <w:p>
      <w:pPr>
        <w:jc w:val="left"/>
        <w:rPr>
          <w:rFonts w:hint="eastAsia" w:ascii="仿宋_GB2312" w:hAnsi="Calibri" w:eastAsia="仿宋_GB2312"/>
          <w:b/>
          <w:sz w:val="32"/>
          <w:szCs w:val="32"/>
        </w:rPr>
      </w:pPr>
      <w:r>
        <w:rPr>
          <w:rFonts w:hint="eastAsia" w:ascii="仿宋_GB2312" w:hAnsi="Calibri" w:eastAsia="仿宋_GB2312"/>
          <w:b/>
          <w:sz w:val="32"/>
          <w:szCs w:val="32"/>
        </w:rPr>
        <w:t>表11.支出经济分类预算表</w:t>
      </w:r>
    </w:p>
    <w:p>
      <w:pPr>
        <w:jc w:val="left"/>
        <w:rPr>
          <w:rFonts w:hint="eastAsia" w:ascii="仿宋_GB2312" w:hAnsi="Calibri" w:eastAsia="仿宋_GB2312"/>
          <w:b/>
          <w:sz w:val="32"/>
          <w:szCs w:val="32"/>
        </w:rPr>
      </w:pPr>
      <w:r>
        <w:rPr>
          <w:rFonts w:hint="eastAsia" w:ascii="仿宋_GB2312" w:hAnsi="Calibri" w:eastAsia="仿宋_GB2312"/>
          <w:b/>
          <w:sz w:val="32"/>
          <w:szCs w:val="32"/>
        </w:rPr>
        <w:t>表12.支出经济分类预算表</w:t>
      </w:r>
    </w:p>
    <w:p>
      <w:pPr>
        <w:jc w:val="left"/>
        <w:rPr>
          <w:rFonts w:hint="eastAsia" w:ascii="仿宋_GB2312" w:hAnsi="Calibri" w:eastAsia="仿宋_GB2312"/>
          <w:b/>
          <w:sz w:val="32"/>
          <w:szCs w:val="32"/>
        </w:rPr>
      </w:pPr>
      <w:r>
        <w:rPr>
          <w:rFonts w:hint="eastAsia" w:ascii="仿宋_GB2312" w:hAnsi="Calibri" w:eastAsia="仿宋_GB2312"/>
          <w:b/>
          <w:sz w:val="32"/>
          <w:szCs w:val="32"/>
        </w:rPr>
        <w:t>表13.债务支出预算表</w:t>
      </w:r>
    </w:p>
    <w:p>
      <w:pPr>
        <w:jc w:val="left"/>
        <w:rPr>
          <w:rFonts w:hint="eastAsia" w:ascii="仿宋_GB2312" w:hAnsi="Calibri" w:eastAsia="仿宋_GB2312"/>
          <w:b/>
          <w:sz w:val="32"/>
          <w:szCs w:val="32"/>
        </w:rPr>
      </w:pPr>
      <w:r>
        <w:rPr>
          <w:rFonts w:hint="eastAsia" w:ascii="仿宋_GB2312" w:hAnsi="Calibri" w:eastAsia="仿宋_GB2312"/>
          <w:b/>
          <w:sz w:val="32"/>
          <w:szCs w:val="32"/>
        </w:rPr>
        <w:t>表14.政府采购支出预算表</w:t>
      </w:r>
    </w:p>
    <w:p>
      <w:pPr>
        <w:jc w:val="left"/>
        <w:rPr>
          <w:rFonts w:hint="eastAsia" w:ascii="仿宋_GB2312" w:hAnsi="Calibri" w:eastAsia="仿宋_GB2312"/>
          <w:b/>
          <w:sz w:val="32"/>
          <w:szCs w:val="32"/>
        </w:rPr>
      </w:pPr>
      <w:r>
        <w:rPr>
          <w:rFonts w:hint="eastAsia" w:ascii="仿宋_GB2312" w:hAnsi="Calibri" w:eastAsia="仿宋_GB2312"/>
          <w:b/>
          <w:sz w:val="32"/>
          <w:szCs w:val="32"/>
        </w:rPr>
        <w:t>表15.政府购买服务支出预算表</w:t>
      </w:r>
    </w:p>
    <w:p>
      <w:pPr>
        <w:jc w:val="left"/>
        <w:rPr>
          <w:rFonts w:hint="eastAsia" w:ascii="仿宋_GB2312" w:hAnsi="Calibri" w:eastAsia="仿宋_GB2312"/>
          <w:b/>
          <w:sz w:val="32"/>
          <w:szCs w:val="32"/>
        </w:rPr>
      </w:pPr>
      <w:r>
        <w:rPr>
          <w:rFonts w:hint="eastAsia" w:ascii="仿宋_GB2312" w:hAnsi="Calibri" w:eastAsia="仿宋_GB2312"/>
          <w:b/>
          <w:sz w:val="32"/>
          <w:szCs w:val="32"/>
        </w:rPr>
        <w:t>表16.部门（单位）整体绩效目标表</w:t>
      </w:r>
    </w:p>
    <w:p>
      <w:pPr>
        <w:jc w:val="left"/>
        <w:rPr>
          <w:rFonts w:hint="eastAsia"/>
        </w:rPr>
      </w:pPr>
      <w:r>
        <w:rPr>
          <w:rFonts w:hint="eastAsia" w:ascii="仿宋_GB2312" w:hAnsi="Calibri" w:eastAsia="仿宋_GB2312"/>
          <w:b/>
          <w:sz w:val="32"/>
          <w:szCs w:val="32"/>
        </w:rPr>
        <w:t>表17.部门预算项目（政策）绩效目标表</w:t>
      </w:r>
    </w:p>
    <w:p>
      <w:pPr>
        <w:widowControl w:val="0"/>
        <w:ind w:firstLine="642" w:firstLineChars="200"/>
        <w:jc w:val="both"/>
        <w:rPr>
          <w:rFonts w:hint="eastAsia" w:ascii="黑体" w:hAnsi="黑体" w:eastAsia="黑体" w:cs="黑体"/>
          <w:b/>
          <w:bCs w:val="0"/>
          <w:kern w:val="2"/>
          <w:sz w:val="32"/>
          <w:szCs w:val="32"/>
          <w:lang w:val="en-US" w:eastAsia="zh-CN" w:bidi="ar-SA"/>
        </w:rPr>
      </w:pPr>
    </w:p>
    <w:p>
      <w:pPr>
        <w:widowControl w:val="0"/>
        <w:ind w:firstLine="642" w:firstLineChars="200"/>
        <w:jc w:val="both"/>
        <w:rPr>
          <w:rFonts w:hint="eastAsia" w:ascii="黑体" w:hAnsi="黑体" w:eastAsia="黑体" w:cs="黑体"/>
          <w:b/>
          <w:bCs w:val="0"/>
          <w:kern w:val="2"/>
          <w:sz w:val="32"/>
          <w:szCs w:val="32"/>
          <w:lang w:val="en-US" w:eastAsia="zh-CN" w:bidi="ar-SA"/>
        </w:rPr>
      </w:pPr>
    </w:p>
    <w:p>
      <w:pPr>
        <w:widowControl w:val="0"/>
        <w:ind w:firstLine="642" w:firstLineChars="200"/>
        <w:jc w:val="both"/>
        <w:rPr>
          <w:rFonts w:hint="eastAsia" w:ascii="黑体" w:hAnsi="黑体" w:eastAsia="黑体" w:cs="黑体"/>
          <w:b/>
          <w:bCs w:val="0"/>
          <w:kern w:val="2"/>
          <w:sz w:val="32"/>
          <w:szCs w:val="32"/>
          <w:lang w:val="en-US" w:eastAsia="zh-CN" w:bidi="ar-SA"/>
        </w:rPr>
      </w:pPr>
      <w:r>
        <w:rPr>
          <w:rFonts w:hint="eastAsia" w:ascii="黑体" w:hAnsi="黑体" w:eastAsia="黑体" w:cs="黑体"/>
          <w:b/>
          <w:bCs w:val="0"/>
          <w:kern w:val="2"/>
          <w:sz w:val="32"/>
          <w:szCs w:val="32"/>
          <w:lang w:val="en-US" w:eastAsia="zh-CN" w:bidi="ar-SA"/>
        </w:rPr>
        <w:t>一、部门主要职责及机构设置情况</w:t>
      </w:r>
    </w:p>
    <w:p>
      <w:pPr>
        <w:widowControl/>
        <w:spacing w:before="0" w:beforeAutospacing="0" w:after="0" w:afterAutospacing="0"/>
        <w:ind w:firstLine="640" w:firstLineChars="200"/>
        <w:jc w:val="left"/>
        <w:rPr>
          <w:rFonts w:hint="eastAsia" w:ascii="黑体" w:hAnsi="黑体" w:eastAsia="黑体" w:cs="黑体"/>
          <w:b w:val="0"/>
          <w:bCs/>
          <w:kern w:val="0"/>
          <w:sz w:val="32"/>
          <w:szCs w:val="32"/>
          <w:lang w:val="en-US" w:eastAsia="zh-CN" w:bidi="ar-SA"/>
        </w:rPr>
      </w:pPr>
      <w:r>
        <w:rPr>
          <w:rFonts w:hint="eastAsia" w:ascii="黑体" w:hAnsi="黑体" w:eastAsia="黑体" w:cs="黑体"/>
          <w:b w:val="0"/>
          <w:bCs/>
          <w:kern w:val="0"/>
          <w:sz w:val="32"/>
          <w:szCs w:val="32"/>
          <w:lang w:val="en-US" w:eastAsia="zh-CN" w:bidi="ar-SA"/>
        </w:rPr>
        <w:t>（一）主要职能</w:t>
      </w:r>
    </w:p>
    <w:p>
      <w:pPr>
        <w:shd w:val="clear" w:color="auto" w:fill="FFFFFF"/>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1.负责落实新时代党的组织路线要求，贯彻执行党的组织建设的方针、政策，研究和指导全县党组织建设，探</w:t>
      </w:r>
      <w:r>
        <w:rPr>
          <w:rFonts w:hint="eastAsia" w:ascii="仿宋_GB2312" w:hAnsi="仿宋_GB2312" w:eastAsia="仿宋_GB2312" w:cs="仿宋_GB2312"/>
          <w:spacing w:val="6"/>
          <w:sz w:val="32"/>
          <w:szCs w:val="32"/>
        </w:rPr>
        <w:t>索新形势下加强基层党组织建设新的途径和方式，负责协调、</w:t>
      </w:r>
      <w:r>
        <w:rPr>
          <w:rFonts w:hint="eastAsia" w:ascii="仿宋_GB2312" w:hAnsi="仿宋_GB2312" w:eastAsia="仿宋_GB2312" w:cs="仿宋_GB2312"/>
          <w:sz w:val="32"/>
          <w:szCs w:val="32"/>
        </w:rPr>
        <w:t>规划和指导全县党员教育工作，研究制定全县运用信息化手段开展党员教育工作规划并组织实施，指导协调和督促检查全县党员电化教育、远程教育等工作，主管全县党员管理、教育和发展工作，负责全县党的建设理论研究工作，承担县委党的建设工作领导小组（县委履行全面从严治党主体责任领导小组）的日常工作，指导县直机关各级党组织加强基层组织建设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2.负责全县干部队伍建设的总体规划和宏观管理工</w:t>
      </w:r>
      <w:r>
        <w:rPr>
          <w:rFonts w:hint="eastAsia" w:ascii="仿宋_GB2312" w:hAnsi="仿宋_GB2312" w:eastAsia="仿宋_GB2312" w:cs="仿宋_GB2312"/>
          <w:spacing w:val="6"/>
          <w:sz w:val="32"/>
          <w:szCs w:val="32"/>
        </w:rPr>
        <w:t>作，提出列入县委管理的领导班子的调整、配备意见和建</w:t>
      </w:r>
      <w:r>
        <w:rPr>
          <w:rFonts w:hint="eastAsia" w:ascii="仿宋_GB2312" w:hAnsi="仿宋_GB2312" w:eastAsia="仿宋_GB2312" w:cs="仿宋_GB2312"/>
          <w:spacing w:val="11"/>
          <w:sz w:val="32"/>
          <w:szCs w:val="32"/>
        </w:rPr>
        <w:t>议，指导领导班子的思想政治建设，考察县委管理的干部，</w:t>
      </w:r>
      <w:r>
        <w:rPr>
          <w:rFonts w:hint="eastAsia" w:ascii="仿宋_GB2312" w:hAnsi="仿宋_GB2312" w:eastAsia="仿宋_GB2312" w:cs="仿宋_GB2312"/>
          <w:sz w:val="32"/>
          <w:szCs w:val="32"/>
        </w:rPr>
        <w:t>办理任免、工资、待遇、退（离）休审批手续，主管全县优秀年轻干部队伍建设工作，负责乡（镇）、街道和县直机关备案干部备案审查和宏观管理工作，承担对全县国有企业和学校领导班子建设的宏观管理和指导工作。</w:t>
      </w:r>
    </w:p>
    <w:p>
      <w:pPr>
        <w:ind w:firstLine="70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7"/>
          <w:sz w:val="32"/>
          <w:szCs w:val="32"/>
        </w:rPr>
        <w:t>3.负责统一管理全县公务员录用调配、考核奖惩、</w:t>
      </w:r>
      <w:r>
        <w:rPr>
          <w:rFonts w:hint="eastAsia" w:ascii="仿宋_GB2312" w:hAnsi="仿宋_GB2312" w:eastAsia="仿宋_GB2312" w:cs="仿宋_GB2312"/>
          <w:sz w:val="32"/>
          <w:szCs w:val="32"/>
        </w:rPr>
        <w:t>培训和工资福利等事务，贯彻落实公务员管理政策和法规规章。</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贯彻落实中央人才工作方针政策及省委、市委具体工作要求，负责全县人才队伍建设的宏观指导，组织研究拟订和协调落实全县人才队伍建设规划、政策法规，协调落实专项重点人才工作，建立和管理高层次人才库，组织评选县级优秀专家和落实有关待遇，承担县人才工作领导小组的日常工作。</w:t>
      </w:r>
    </w:p>
    <w:p>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5.负责全县党的组织制度、干部人事制度和人才工作制度改革宏观指导，</w:t>
      </w:r>
      <w:r>
        <w:rPr>
          <w:rFonts w:hint="eastAsia" w:ascii="仿宋_GB2312" w:hAnsi="仿宋_GB2312" w:eastAsia="仿宋_GB2312" w:cs="仿宋_GB2312"/>
          <w:color w:val="000000"/>
          <w:sz w:val="32"/>
          <w:szCs w:val="32"/>
        </w:rPr>
        <w:t>拟订或参与拟订全县组织、干部人事和人才工作的重要政策和制度。</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6.负责督促检查全县组织、干部人事和人才工作，及时向县委反映重要情况、提出建议，处理有关组织、干部人事和人才工作的来信来访。</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负责全县干部教育工作，落实党的干部教育工作的方针政策，拟订全县干部教育规划，负责县委管理的干部、后备干部和党务干部培训轮训工作，指导、协调、检查县直各单位及各乡（镇）、街道的干部教育培训工作，负责组织指导全县公务员的教育培训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负责全县组织系统干部监督工作综合协调和宏观指导，对党政领导干部和干部选拔任用工作进行监督，对全县公务员进行监督，配合上级组织部门建立领导干部个人有关事项报告查核联系工作机制并组织实施，负责综合协调和宏观指导全县组织系统举报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9.负责全县组织系统信息化建设规划和指导，对全</w:t>
      </w:r>
      <w:r>
        <w:rPr>
          <w:rFonts w:hint="eastAsia" w:ascii="仿宋_GB2312" w:hAnsi="仿宋_GB2312" w:eastAsia="仿宋_GB2312" w:cs="仿宋_GB2312"/>
          <w:spacing w:val="11"/>
          <w:sz w:val="32"/>
          <w:szCs w:val="32"/>
        </w:rPr>
        <w:t>县干部信息管理、干部人事档案工作进行宏观管理和指导，</w:t>
      </w:r>
      <w:r>
        <w:rPr>
          <w:rFonts w:hint="eastAsia" w:ascii="仿宋_GB2312" w:hAnsi="仿宋_GB2312" w:eastAsia="仿宋_GB2312" w:cs="仿宋_GB2312"/>
          <w:sz w:val="32"/>
          <w:szCs w:val="32"/>
        </w:rPr>
        <w:t>负责全县公务员管理信息化建设工作。负责县委管理的干部和一般公务员的档案管理工作。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10.统一组织、规划、部署县直机关党的工作，提出</w:t>
      </w:r>
      <w:r>
        <w:rPr>
          <w:rFonts w:hint="eastAsia" w:ascii="仿宋_GB2312" w:hAnsi="仿宋_GB2312" w:eastAsia="仿宋_GB2312" w:cs="仿宋_GB2312"/>
          <w:spacing w:val="6"/>
          <w:sz w:val="32"/>
          <w:szCs w:val="32"/>
        </w:rPr>
        <w:t>加强和改进机关党的建设的意见和建议，研究拟订工作规划，</w:t>
      </w:r>
      <w:r>
        <w:rPr>
          <w:rFonts w:hint="eastAsia" w:ascii="仿宋_GB2312" w:hAnsi="仿宋_GB2312" w:eastAsia="仿宋_GB2312" w:cs="仿宋_GB2312"/>
          <w:sz w:val="32"/>
          <w:szCs w:val="32"/>
        </w:rPr>
        <w:t>并抓好组织实施。领导县直机关工会、共青团、妇联等群团组织的工作，指导县直机关各级党组织做好党的群众工作和统一战线工作。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11.指导县直机关各级党组织和广大党员学习马克思列宁主义、毛泽东思想、邓小平理论、“三个代表”重要思想、科学发展观、习近平新时代中国特色社会主义思想。</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12.对县直机关各级党组织、党员领导干部落实党建责任制、遵守政治纪律和政治规矩情况进行监督检查，并向县委报告。</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13.指导县直机关各级党组织实施对党员特别是党员干部的监督和管理，及时向县委反映各部门领导班子、领导干部情况。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14.配合县委有关部门抓好县直机关部门领导班子思想政治建设，参与对党员领导干部民主生活会和县委各部门、县直各党委（党组）理论学习中心组学习的督促检查和指导，了解掌握情况，按规定报送情况报告。</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15.督促指导县直机关各部门机关党委按期换届，审批关于召开党员大会或党员代表大会的请示，审批县直机关各部门机关党委和机关纪委领导班子的组成及书记、副书记的任免。</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16.指导县直机关各级党组织加强基层组织建设，做好党员发展、教育和管理工作。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17.领导县直机关各部门机关党的纪律检查工作。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18.了解掌握县直机关工作人员的思想状况，指导县直机关各级党组织加强思想政治工作和精神文明建设。</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19.协助做好县直属机关各部门维护稳定工作。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负责促进中央各项决策部署及县委具体工作安排在非公有制经济组织和社会组织的贯彻落实，负责全县非公有制经济组织和社会组织党的工作政策拟订、综合协调、检查指导，提出意见和建议，抓好非公有制经济组织和社会组织党的建设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21.贯彻落实中央关于离退休干部工作的方针政策及省委、市委、县委具体要求，结合实际提出贯彻落实建议。拟订全县离退休干部工作计划并组织实施。承担县关心下一代工作委员会的日常工作。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22.调研和指导全县离退休干部工作。督促检查全县离退休干部服务管理与待遇落实工作。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23.指导全县离退休干部政治建设、思想建设和党组织建设工作，加强离退休干部党员教育管理。组织指导全县离退休干部正能量的相关活动。</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24.宣传全县离退休干部工作先进典型。指导全县离退休干部学习教育活动阵地建设工作。</w:t>
      </w:r>
    </w:p>
    <w:p>
      <w:pPr>
        <w:tabs>
          <w:tab w:val="left" w:pos="709"/>
        </w:tabs>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25.负责县委管理的领导班子、领导干部绩效考核工作。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26.完成县委交办的其他事项。</w:t>
      </w:r>
    </w:p>
    <w:p>
      <w:pPr>
        <w:ind w:firstLine="640" w:firstLineChars="200"/>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（二）机构设置</w:t>
      </w:r>
    </w:p>
    <w:p>
      <w:pPr>
        <w:ind w:firstLine="640" w:firstLineChars="200"/>
        <w:rPr>
          <w:rFonts w:hint="eastAsia" w:ascii="仿宋" w:hAnsi="仿宋" w:eastAsia="仿宋"/>
          <w:sz w:val="32"/>
          <w:szCs w:val="32"/>
        </w:rPr>
      </w:pPr>
      <w:r>
        <w:rPr>
          <w:rFonts w:hint="eastAsia" w:ascii="仿宋_GB2312" w:hAnsi="仿宋_GB2312" w:eastAsia="仿宋_GB2312" w:cs="仿宋_GB2312"/>
          <w:sz w:val="32"/>
          <w:szCs w:val="32"/>
        </w:rPr>
        <w:t>单位机构数1个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目前财政拨款开支人数为</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人，退休人员为1</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人。</w:t>
      </w:r>
    </w:p>
    <w:p>
      <w:pPr>
        <w:widowControl/>
        <w:spacing w:before="0" w:beforeAutospacing="0" w:after="0" w:afterAutospacing="0"/>
        <w:ind w:firstLine="642" w:firstLineChars="200"/>
        <w:jc w:val="left"/>
        <w:rPr>
          <w:rFonts w:hint="eastAsia" w:ascii="黑体" w:hAnsi="黑体" w:eastAsia="黑体" w:cs="黑体"/>
          <w:b/>
          <w:bCs w:val="0"/>
          <w:kern w:val="0"/>
          <w:sz w:val="32"/>
          <w:szCs w:val="32"/>
          <w:lang w:val="en-US" w:eastAsia="zh-CN" w:bidi="ar-SA"/>
        </w:rPr>
      </w:pPr>
      <w:r>
        <w:rPr>
          <w:rFonts w:hint="eastAsia" w:ascii="黑体" w:hAnsi="黑体" w:eastAsia="黑体" w:cs="黑体"/>
          <w:b/>
          <w:bCs w:val="0"/>
          <w:kern w:val="0"/>
          <w:sz w:val="32"/>
          <w:szCs w:val="32"/>
          <w:lang w:val="en-US" w:eastAsia="zh-CN" w:bidi="ar-SA"/>
        </w:rPr>
        <w:t>二、预算收支增减变化情况</w:t>
      </w:r>
    </w:p>
    <w:p>
      <w:pPr>
        <w:ind w:firstLine="640"/>
        <w:rPr>
          <w:rFonts w:hint="eastAsia" w:ascii="仿宋" w:hAnsi="仿宋" w:eastAsia="仿宋"/>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eastAsia="zh-CN"/>
        </w:rPr>
        <w:t>中共康平县委组织部</w:t>
      </w:r>
      <w:r>
        <w:rPr>
          <w:rFonts w:hint="eastAsia" w:ascii="仿宋_GB2312" w:hAnsi="仿宋_GB2312" w:eastAsia="仿宋_GB2312" w:cs="仿宋_GB2312"/>
          <w:color w:val="000000"/>
          <w:sz w:val="32"/>
          <w:szCs w:val="32"/>
        </w:rPr>
        <w:t>（本级）各项经费均为财政拨款，各项支出均按财政要求支出</w:t>
      </w:r>
      <w:r>
        <w:rPr>
          <w:rFonts w:hint="eastAsia" w:ascii="仿宋_GB2312" w:hAnsi="仿宋_GB2312" w:eastAsia="仿宋_GB2312" w:cs="仿宋_GB2312"/>
          <w:color w:val="000000"/>
          <w:sz w:val="32"/>
          <w:szCs w:val="32"/>
          <w:lang w:eastAsia="zh-CN"/>
        </w:rPr>
        <w:t>，收入包括：一般公共预算拨款收入；支出包括：一般公共服务支出、社会保障和就业支出、卫生健康支出、住房保障支出等。</w:t>
      </w: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eastAsia="zh-CN"/>
        </w:rPr>
        <w:t>中共康平县委组织部</w:t>
      </w:r>
      <w:r>
        <w:rPr>
          <w:rFonts w:hint="eastAsia" w:ascii="仿宋_GB2312" w:hAnsi="仿宋_GB2312" w:eastAsia="仿宋_GB2312" w:cs="仿宋_GB2312"/>
          <w:color w:val="000000"/>
          <w:sz w:val="32"/>
          <w:szCs w:val="32"/>
        </w:rPr>
        <w:t>（本级）部门预算收入</w:t>
      </w:r>
      <w:r>
        <w:rPr>
          <w:rFonts w:hint="eastAsia" w:ascii="仿宋_GB2312" w:hAnsi="仿宋_GB2312" w:eastAsia="仿宋_GB2312" w:cs="仿宋_GB2312"/>
          <w:color w:val="000000"/>
          <w:sz w:val="32"/>
          <w:szCs w:val="32"/>
          <w:lang w:val="en-US" w:eastAsia="zh-CN"/>
        </w:rPr>
        <w:t>321.52</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年部门预算收入</w:t>
      </w:r>
      <w:r>
        <w:rPr>
          <w:rFonts w:hint="eastAsia" w:ascii="仿宋_GB2312" w:hAnsi="仿宋_GB2312" w:eastAsia="仿宋_GB2312" w:cs="仿宋_GB2312"/>
          <w:sz w:val="32"/>
          <w:szCs w:val="32"/>
          <w:lang w:val="en-US" w:eastAsia="zh-CN"/>
        </w:rPr>
        <w:t>345.96</w:t>
      </w:r>
      <w:r>
        <w:rPr>
          <w:rFonts w:hint="eastAsia" w:ascii="仿宋_GB2312" w:hAnsi="仿宋_GB2312" w:eastAsia="仿宋_GB2312" w:cs="仿宋_GB2312"/>
          <w:sz w:val="32"/>
          <w:szCs w:val="32"/>
        </w:rPr>
        <w:t>万元，202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年比20</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24.44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rPr>
        <w:t>幅度为</w:t>
      </w:r>
      <w:r>
        <w:rPr>
          <w:rFonts w:hint="eastAsia" w:ascii="仿宋_GB2312" w:hAnsi="仿宋_GB2312" w:eastAsia="仿宋_GB2312" w:cs="仿宋_GB2312"/>
          <w:sz w:val="32"/>
          <w:szCs w:val="32"/>
          <w:lang w:val="en-US" w:eastAsia="zh-CN"/>
        </w:rPr>
        <w:t>7.06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rPr>
        <w:t>原因是</w:t>
      </w:r>
      <w:r>
        <w:rPr>
          <w:rFonts w:hint="eastAsia" w:ascii="仿宋_GB2312" w:hAnsi="仿宋_GB2312" w:eastAsia="仿宋_GB2312" w:cs="仿宋_GB2312"/>
          <w:sz w:val="32"/>
          <w:szCs w:val="32"/>
          <w:lang w:eastAsia="zh-CN"/>
        </w:rPr>
        <w:t>组织事务一般公共服务支出预算减少</w:t>
      </w:r>
      <w:r>
        <w:rPr>
          <w:rFonts w:hint="eastAsia" w:ascii="仿宋_GB2312" w:hAnsi="仿宋_GB2312" w:eastAsia="仿宋_GB2312" w:cs="仿宋_GB2312"/>
          <w:sz w:val="32"/>
          <w:szCs w:val="32"/>
          <w:lang w:val="en-US" w:eastAsia="zh-CN"/>
        </w:rPr>
        <w:t>。</w:t>
      </w:r>
    </w:p>
    <w:p>
      <w:pPr>
        <w:widowControl/>
        <w:spacing w:before="0" w:beforeAutospacing="0" w:after="0" w:afterAutospacing="0"/>
        <w:ind w:firstLine="642" w:firstLineChars="200"/>
        <w:jc w:val="left"/>
        <w:rPr>
          <w:rFonts w:hint="eastAsia" w:ascii="黑体" w:hAnsi="黑体" w:eastAsia="黑体" w:cs="黑体"/>
          <w:b/>
          <w:bCs w:val="0"/>
          <w:kern w:val="0"/>
          <w:sz w:val="32"/>
          <w:szCs w:val="32"/>
          <w:lang w:val="en-US" w:eastAsia="zh-CN" w:bidi="ar-SA"/>
        </w:rPr>
      </w:pPr>
      <w:r>
        <w:rPr>
          <w:rFonts w:hint="eastAsia" w:ascii="黑体" w:hAnsi="黑体" w:eastAsia="黑体" w:cs="黑体"/>
          <w:b/>
          <w:bCs w:val="0"/>
          <w:kern w:val="0"/>
          <w:sz w:val="32"/>
          <w:szCs w:val="32"/>
          <w:lang w:val="en-US" w:eastAsia="zh-CN" w:bidi="ar-SA"/>
        </w:rPr>
        <w:t>三、机关运行费安排情况</w:t>
      </w:r>
    </w:p>
    <w:p>
      <w:pPr>
        <w:widowControl/>
        <w:spacing w:before="0" w:beforeAutospacing="0" w:after="0" w:afterAutospacing="0"/>
        <w:ind w:firstLine="627" w:firstLineChars="196"/>
        <w:jc w:val="both"/>
        <w:rPr>
          <w:rFonts w:hint="eastAsia" w:ascii="仿宋" w:hAnsi="仿宋" w:eastAsia="仿宋" w:cs="宋体"/>
          <w:b/>
          <w:kern w:val="0"/>
          <w:sz w:val="32"/>
          <w:szCs w:val="32"/>
          <w:lang w:val="en-US" w:eastAsia="zh-CN" w:bidi="ar-SA"/>
        </w:rPr>
      </w:pPr>
      <w:r>
        <w:rPr>
          <w:rFonts w:hint="eastAsia" w:ascii="仿宋_GB2312" w:hAnsi="仿宋_GB2312" w:eastAsia="仿宋_GB2312" w:cs="仿宋_GB2312"/>
          <w:bCs/>
          <w:kern w:val="0"/>
          <w:sz w:val="32"/>
          <w:szCs w:val="32"/>
          <w:lang w:val="en-US" w:eastAsia="zh-CN" w:bidi="ar-SA"/>
        </w:rPr>
        <w:t>2022年中共康平县委组织部（本级）机关运行经费财政拨款预算机关运行经费47.01万元。其中：办公费16.74万元；印刷费3.14万元；邮电费1.20万元；差旅费4.00万元；其他交通费用21.93万元。</w:t>
      </w:r>
    </w:p>
    <w:p>
      <w:pPr>
        <w:widowControl/>
        <w:spacing w:before="0" w:beforeAutospacing="0" w:after="0" w:afterAutospacing="0"/>
        <w:ind w:firstLine="642" w:firstLineChars="200"/>
        <w:jc w:val="left"/>
        <w:rPr>
          <w:rFonts w:hint="eastAsia" w:ascii="黑体" w:hAnsi="黑体" w:eastAsia="黑体" w:cs="黑体"/>
          <w:b/>
          <w:bCs w:val="0"/>
          <w:kern w:val="0"/>
          <w:sz w:val="32"/>
          <w:szCs w:val="32"/>
          <w:lang w:val="en-US" w:eastAsia="zh-CN" w:bidi="ar-SA"/>
        </w:rPr>
      </w:pPr>
      <w:r>
        <w:rPr>
          <w:rFonts w:hint="eastAsia" w:ascii="黑体" w:hAnsi="黑体" w:eastAsia="黑体" w:cs="黑体"/>
          <w:b/>
          <w:bCs w:val="0"/>
          <w:kern w:val="0"/>
          <w:sz w:val="32"/>
          <w:szCs w:val="32"/>
          <w:lang w:val="en-US" w:eastAsia="zh-CN" w:bidi="ar-SA"/>
        </w:rPr>
        <w:t>四、政府采购安排情况</w:t>
      </w:r>
    </w:p>
    <w:p>
      <w:pPr>
        <w:ind w:firstLine="640" w:firstLineChars="200"/>
        <w:rPr>
          <w:rFonts w:hint="eastAsia" w:ascii="仿宋" w:hAnsi="仿宋" w:eastAsia="仿宋"/>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中共康平县委组织部</w:t>
      </w:r>
      <w:r>
        <w:rPr>
          <w:rFonts w:hint="eastAsia" w:ascii="仿宋_GB2312" w:hAnsi="仿宋_GB2312" w:eastAsia="仿宋_GB2312" w:cs="仿宋_GB2312"/>
          <w:sz w:val="32"/>
          <w:szCs w:val="32"/>
        </w:rPr>
        <w:t>（本级）无政府采购安排。</w:t>
      </w:r>
    </w:p>
    <w:p>
      <w:pPr>
        <w:widowControl/>
        <w:spacing w:before="0" w:beforeAutospacing="0" w:after="0" w:afterAutospacing="0"/>
        <w:ind w:firstLine="642" w:firstLineChars="200"/>
        <w:jc w:val="left"/>
        <w:rPr>
          <w:rFonts w:hint="eastAsia" w:ascii="黑体" w:hAnsi="黑体" w:eastAsia="黑体" w:cs="黑体"/>
          <w:b/>
          <w:bCs w:val="0"/>
          <w:kern w:val="0"/>
          <w:sz w:val="32"/>
          <w:szCs w:val="32"/>
          <w:lang w:val="en-US" w:eastAsia="zh-CN" w:bidi="ar-SA"/>
        </w:rPr>
      </w:pPr>
      <w:r>
        <w:rPr>
          <w:rFonts w:hint="eastAsia" w:ascii="黑体" w:hAnsi="黑体" w:eastAsia="黑体" w:cs="黑体"/>
          <w:b/>
          <w:bCs w:val="0"/>
          <w:kern w:val="0"/>
          <w:sz w:val="32"/>
          <w:szCs w:val="32"/>
          <w:lang w:val="en-US" w:eastAsia="zh-CN" w:bidi="ar-SA"/>
        </w:rPr>
        <w:t>五、“三公”经费增减变化原因等情况说明</w:t>
      </w:r>
    </w:p>
    <w:p>
      <w:pPr>
        <w:widowControl/>
        <w:spacing w:before="0" w:beforeAutospacing="0" w:after="0" w:afterAutospacing="0"/>
        <w:ind w:firstLine="640" w:firstLineChars="200"/>
        <w:jc w:val="left"/>
        <w:rPr>
          <w:rFonts w:hint="eastAsia" w:ascii="仿宋" w:hAnsi="仿宋" w:eastAsia="仿宋" w:cs="宋体"/>
          <w:b/>
          <w:kern w:val="0"/>
          <w:sz w:val="32"/>
          <w:szCs w:val="32"/>
          <w:lang w:val="en-US" w:eastAsia="zh-CN" w:bidi="ar-SA"/>
        </w:rPr>
      </w:pPr>
      <w:r>
        <w:rPr>
          <w:rFonts w:hint="eastAsia" w:ascii="仿宋_GB2312" w:hAnsi="仿宋_GB2312" w:eastAsia="仿宋_GB2312" w:cs="仿宋_GB2312"/>
          <w:kern w:val="0"/>
          <w:sz w:val="32"/>
          <w:szCs w:val="32"/>
          <w:lang w:val="en-US" w:eastAsia="zh-CN" w:bidi="ar-SA"/>
        </w:rPr>
        <w:t>2022年中共康平县委组织部（本级）“三公”经费</w:t>
      </w:r>
      <w:bookmarkStart w:id="0" w:name="_GoBack"/>
      <w:bookmarkEnd w:id="0"/>
      <w:r>
        <w:rPr>
          <w:rFonts w:hint="eastAsia" w:ascii="仿宋_GB2312" w:hAnsi="仿宋_GB2312" w:eastAsia="仿宋_GB2312" w:cs="仿宋_GB2312"/>
          <w:kern w:val="0"/>
          <w:sz w:val="32"/>
          <w:szCs w:val="32"/>
          <w:lang w:val="en-US" w:eastAsia="zh-CN" w:bidi="ar-SA"/>
        </w:rPr>
        <w:t>预算数为0，与2021年一致。</w:t>
      </w:r>
    </w:p>
    <w:p>
      <w:pPr>
        <w:widowControl/>
        <w:spacing w:before="0" w:beforeAutospacing="0" w:after="0" w:afterAutospacing="0"/>
        <w:ind w:firstLine="642" w:firstLineChars="200"/>
        <w:jc w:val="left"/>
        <w:rPr>
          <w:rFonts w:hint="eastAsia" w:ascii="黑体" w:hAnsi="黑体" w:eastAsia="黑体" w:cs="黑体"/>
          <w:b/>
          <w:bCs w:val="0"/>
          <w:kern w:val="0"/>
          <w:sz w:val="32"/>
          <w:szCs w:val="32"/>
          <w:lang w:val="en-US" w:eastAsia="zh-CN" w:bidi="ar-SA"/>
        </w:rPr>
      </w:pPr>
      <w:r>
        <w:rPr>
          <w:rFonts w:hint="eastAsia" w:ascii="黑体" w:hAnsi="黑体" w:eastAsia="黑体" w:cs="黑体"/>
          <w:b/>
          <w:bCs w:val="0"/>
          <w:kern w:val="0"/>
          <w:sz w:val="32"/>
          <w:szCs w:val="32"/>
          <w:lang w:val="en-US" w:eastAsia="zh-CN" w:bidi="ar-SA"/>
        </w:rPr>
        <w:t>六、预算绩效情况</w:t>
      </w:r>
    </w:p>
    <w:p>
      <w:pPr>
        <w:widowControl/>
        <w:spacing w:before="0" w:beforeAutospacing="0" w:after="0" w:afterAutospacing="0"/>
        <w:ind w:firstLine="640" w:firstLineChars="200"/>
        <w:jc w:val="left"/>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2022年中共康平县委组织部（本级）为提高农村党员的思想教育，涉及农村党员教育工作项目专项8.05万元，本年度本单位绩效完成目标百分之百。</w:t>
      </w:r>
    </w:p>
    <w:p>
      <w:pPr>
        <w:widowControl/>
        <w:spacing w:before="0" w:beforeAutospacing="0" w:after="0" w:afterAutospacing="0"/>
        <w:ind w:firstLine="642" w:firstLineChars="200"/>
        <w:jc w:val="left"/>
        <w:rPr>
          <w:rFonts w:hint="eastAsia" w:ascii="黑体" w:hAnsi="黑体" w:eastAsia="黑体" w:cs="黑体"/>
          <w:b/>
          <w:bCs w:val="0"/>
          <w:kern w:val="0"/>
          <w:sz w:val="32"/>
          <w:szCs w:val="32"/>
          <w:highlight w:val="none"/>
          <w:lang w:val="en-US" w:eastAsia="zh-CN" w:bidi="ar-SA"/>
        </w:rPr>
      </w:pPr>
      <w:r>
        <w:rPr>
          <w:rFonts w:hint="eastAsia" w:ascii="黑体" w:hAnsi="黑体" w:eastAsia="黑体" w:cs="黑体"/>
          <w:b/>
          <w:bCs w:val="0"/>
          <w:kern w:val="0"/>
          <w:sz w:val="32"/>
          <w:szCs w:val="32"/>
          <w:highlight w:val="none"/>
          <w:lang w:val="en-US" w:eastAsia="zh-CN" w:bidi="ar-SA"/>
        </w:rPr>
        <w:t>七、2022年一般公共预算支出情况表的说明</w:t>
      </w:r>
    </w:p>
    <w:p>
      <w:pPr>
        <w:ind w:firstLine="640"/>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t>202</w:t>
      </w: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eastAsia="zh-CN"/>
        </w:rPr>
        <w:t>中共康平县委组织部</w:t>
      </w:r>
      <w:r>
        <w:rPr>
          <w:rFonts w:hint="eastAsia" w:ascii="仿宋" w:hAnsi="仿宋" w:eastAsia="仿宋" w:cs="仿宋"/>
          <w:sz w:val="32"/>
          <w:szCs w:val="32"/>
          <w:highlight w:val="none"/>
          <w:lang w:val="en-US" w:eastAsia="zh-CN"/>
        </w:rPr>
        <w:t>年一般公共预算支出合计</w:t>
      </w:r>
      <w:r>
        <w:rPr>
          <w:rFonts w:hint="eastAsia" w:ascii="仿宋" w:hAnsi="仿宋" w:eastAsia="仿宋" w:cs="仿宋"/>
          <w:sz w:val="32"/>
          <w:szCs w:val="32"/>
          <w:highlight w:val="none"/>
        </w:rPr>
        <w:t>321.52万元</w:t>
      </w:r>
      <w:r>
        <w:rPr>
          <w:rFonts w:hint="eastAsia" w:ascii="仿宋" w:hAnsi="仿宋" w:eastAsia="仿宋" w:cs="仿宋"/>
          <w:sz w:val="32"/>
          <w:szCs w:val="32"/>
          <w:highlight w:val="none"/>
          <w:lang w:eastAsia="zh-CN"/>
        </w:rPr>
        <w:t>。其中，</w:t>
      </w:r>
      <w:r>
        <w:rPr>
          <w:rFonts w:hint="eastAsia" w:ascii="仿宋" w:hAnsi="仿宋" w:eastAsia="仿宋" w:cs="仿宋"/>
          <w:sz w:val="32"/>
          <w:szCs w:val="32"/>
          <w:highlight w:val="none"/>
        </w:rPr>
        <w:t>人员经费288.39万元</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公用经费25.08万元</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项目支出8.05万元</w:t>
      </w:r>
      <w:r>
        <w:rPr>
          <w:rFonts w:hint="eastAsia" w:ascii="仿宋" w:hAnsi="仿宋" w:eastAsia="仿宋" w:cs="仿宋"/>
          <w:sz w:val="32"/>
          <w:szCs w:val="32"/>
          <w:highlight w:val="none"/>
          <w:lang w:eastAsia="zh-CN"/>
        </w:rPr>
        <w:t>。</w:t>
      </w:r>
    </w:p>
    <w:p>
      <w:pPr>
        <w:widowControl/>
        <w:spacing w:before="0" w:beforeAutospacing="0" w:after="0" w:afterAutospacing="0"/>
        <w:ind w:firstLine="642" w:firstLineChars="200"/>
        <w:jc w:val="left"/>
        <w:rPr>
          <w:rFonts w:hint="eastAsia" w:ascii="黑体" w:hAnsi="黑体" w:eastAsia="黑体" w:cs="黑体"/>
          <w:b/>
          <w:bCs w:val="0"/>
          <w:kern w:val="0"/>
          <w:sz w:val="32"/>
          <w:szCs w:val="32"/>
          <w:lang w:val="en-US" w:eastAsia="zh-CN" w:bidi="ar-SA"/>
        </w:rPr>
      </w:pPr>
      <w:r>
        <w:rPr>
          <w:rFonts w:hint="eastAsia" w:ascii="黑体" w:hAnsi="黑体" w:eastAsia="黑体" w:cs="黑体"/>
          <w:b/>
          <w:bCs w:val="0"/>
          <w:kern w:val="0"/>
          <w:sz w:val="32"/>
          <w:szCs w:val="32"/>
          <w:lang w:val="en-US" w:eastAsia="zh-CN" w:bidi="ar-SA"/>
        </w:rPr>
        <w:t>八、国有资产占用使用情况</w:t>
      </w:r>
    </w:p>
    <w:p>
      <w:pPr>
        <w:widowControl/>
        <w:spacing w:before="0" w:beforeAutospacing="0" w:after="0" w:afterAutospacing="0"/>
        <w:ind w:firstLine="640" w:firstLineChars="200"/>
        <w:jc w:val="left"/>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2022年中共康平县委组织部（本级）没有国有资产占用使用情况。</w:t>
      </w:r>
    </w:p>
    <w:p>
      <w:pPr>
        <w:widowControl/>
        <w:spacing w:before="0" w:beforeAutospacing="0" w:after="0" w:afterAutospacing="0"/>
        <w:ind w:firstLine="642" w:firstLineChars="200"/>
        <w:jc w:val="left"/>
        <w:rPr>
          <w:rFonts w:hint="eastAsia" w:ascii="黑体" w:hAnsi="黑体" w:eastAsia="黑体" w:cs="黑体"/>
          <w:b/>
          <w:bCs w:val="0"/>
          <w:kern w:val="0"/>
          <w:sz w:val="32"/>
          <w:szCs w:val="32"/>
          <w:lang w:val="en-US" w:eastAsia="zh-CN" w:bidi="ar-SA"/>
        </w:rPr>
      </w:pPr>
      <w:r>
        <w:rPr>
          <w:rFonts w:hint="eastAsia" w:ascii="黑体" w:hAnsi="黑体" w:eastAsia="黑体" w:cs="黑体"/>
          <w:b/>
          <w:bCs w:val="0"/>
          <w:kern w:val="0"/>
          <w:sz w:val="32"/>
          <w:szCs w:val="32"/>
          <w:lang w:val="en-US" w:eastAsia="zh-CN" w:bidi="ar-SA"/>
        </w:rPr>
        <w:t>九、名词解释</w:t>
      </w:r>
    </w:p>
    <w:p>
      <w:pPr>
        <w:ind w:firstLine="640" w:firstLineChars="200"/>
        <w:jc w:val="left"/>
        <w:rPr>
          <w:rFonts w:ascii="仿宋" w:hAnsi="仿宋" w:eastAsia="仿宋"/>
          <w:sz w:val="32"/>
        </w:rPr>
      </w:pPr>
      <w:r>
        <w:rPr>
          <w:rFonts w:hint="eastAsia" w:ascii="仿宋" w:hAnsi="仿宋" w:eastAsia="仿宋"/>
          <w:sz w:val="32"/>
        </w:rPr>
        <w:t>1.财政拨款收入：指市级财政当年拨付的资金。</w:t>
      </w:r>
    </w:p>
    <w:p>
      <w:pPr>
        <w:ind w:firstLine="640" w:firstLineChars="200"/>
        <w:jc w:val="left"/>
        <w:rPr>
          <w:rFonts w:ascii="仿宋" w:hAnsi="仿宋" w:eastAsia="仿宋"/>
          <w:sz w:val="32"/>
        </w:rPr>
      </w:pPr>
      <w:r>
        <w:rPr>
          <w:rFonts w:hint="eastAsia" w:ascii="仿宋" w:hAnsi="仿宋" w:eastAsia="仿宋"/>
          <w:sz w:val="32"/>
        </w:rPr>
        <w:t>2.上级补助收入：指事业单位从主管部门和上级单位取得的非财政补助收入。</w:t>
      </w:r>
    </w:p>
    <w:p>
      <w:pPr>
        <w:ind w:firstLine="640" w:firstLineChars="200"/>
        <w:jc w:val="left"/>
        <w:rPr>
          <w:rFonts w:ascii="仿宋" w:hAnsi="仿宋" w:eastAsia="仿宋"/>
          <w:sz w:val="32"/>
        </w:rPr>
      </w:pPr>
      <w:r>
        <w:rPr>
          <w:rFonts w:hint="eastAsia" w:ascii="仿宋" w:hAnsi="仿宋" w:eastAsia="仿宋"/>
          <w:sz w:val="32"/>
        </w:rPr>
        <w:t>3.附属单位上缴收入：指已纳入部门预算管理的独立核算的附属单位按照有关规定上缴的收入。</w:t>
      </w:r>
    </w:p>
    <w:p>
      <w:pPr>
        <w:ind w:firstLine="640" w:firstLineChars="200"/>
        <w:jc w:val="left"/>
        <w:rPr>
          <w:rFonts w:ascii="仿宋" w:hAnsi="仿宋" w:eastAsia="仿宋"/>
          <w:sz w:val="32"/>
        </w:rPr>
      </w:pPr>
      <w:r>
        <w:rPr>
          <w:rFonts w:hint="eastAsia" w:ascii="仿宋" w:hAnsi="仿宋" w:eastAsia="仿宋"/>
          <w:sz w:val="32"/>
        </w:rPr>
        <w:t>4.其他收入：指除上述“财政拨款收入”、“纳入专户管理的预算外资金拨款”、“上级补助、附属单位上缴收入”以外的收入。</w:t>
      </w:r>
    </w:p>
    <w:p>
      <w:pPr>
        <w:ind w:firstLine="640" w:firstLineChars="200"/>
        <w:jc w:val="left"/>
        <w:rPr>
          <w:rFonts w:ascii="仿宋" w:hAnsi="仿宋" w:eastAsia="仿宋"/>
          <w:sz w:val="32"/>
        </w:rPr>
      </w:pPr>
      <w:r>
        <w:rPr>
          <w:rFonts w:hint="eastAsia" w:ascii="仿宋" w:hAnsi="仿宋" w:eastAsia="仿宋"/>
          <w:sz w:val="32"/>
        </w:rPr>
        <w:t>5.一般公共服务（类）财政事务（款）行政运行（项）：反映行政单位（包括实行公务员管理的事业单位）的基本支出。</w:t>
      </w:r>
    </w:p>
    <w:p>
      <w:pPr>
        <w:ind w:firstLine="640" w:firstLineChars="200"/>
        <w:jc w:val="left"/>
        <w:rPr>
          <w:rFonts w:ascii="仿宋" w:hAnsi="仿宋" w:eastAsia="仿宋"/>
          <w:sz w:val="32"/>
        </w:rPr>
      </w:pPr>
      <w:r>
        <w:rPr>
          <w:rFonts w:hint="eastAsia" w:ascii="仿宋" w:hAnsi="仿宋" w:eastAsia="仿宋"/>
          <w:sz w:val="32"/>
        </w:rPr>
        <w:t>6.一般公共服务（类）财政事务（款）一般行政管理事务（项）：反映行政单位（包括实行公务员管理的事业单位）未单独设置项级科目的其他项目支出。</w:t>
      </w:r>
    </w:p>
    <w:p>
      <w:pPr>
        <w:ind w:firstLine="640" w:firstLineChars="200"/>
        <w:jc w:val="left"/>
        <w:rPr>
          <w:rFonts w:ascii="仿宋" w:hAnsi="仿宋" w:eastAsia="仿宋"/>
          <w:sz w:val="32"/>
        </w:rPr>
      </w:pPr>
      <w:r>
        <w:rPr>
          <w:rFonts w:hint="eastAsia" w:ascii="仿宋" w:hAnsi="仿宋" w:eastAsia="仿宋"/>
          <w:sz w:val="32"/>
        </w:rPr>
        <w:t>7.一般公共服务（类）财政事务（款）预算改革业务（项）：反映财政部门用于预算改革方面的支出。</w:t>
      </w:r>
    </w:p>
    <w:p>
      <w:pPr>
        <w:ind w:firstLine="640" w:firstLineChars="200"/>
        <w:jc w:val="left"/>
        <w:rPr>
          <w:rFonts w:ascii="仿宋" w:hAnsi="仿宋" w:eastAsia="仿宋"/>
          <w:sz w:val="32"/>
        </w:rPr>
      </w:pPr>
      <w:r>
        <w:rPr>
          <w:rFonts w:hint="eastAsia" w:ascii="仿宋" w:hAnsi="仿宋" w:eastAsia="仿宋"/>
          <w:sz w:val="32"/>
        </w:rPr>
        <w:t>8.一般公共服务（类）财政事务（款）财政国库业务（项）：反映财政部门用于财政国库集中收付业务方面的支出。</w:t>
      </w:r>
    </w:p>
    <w:p>
      <w:pPr>
        <w:ind w:firstLine="640" w:firstLineChars="200"/>
        <w:jc w:val="left"/>
        <w:rPr>
          <w:rFonts w:ascii="仿宋" w:hAnsi="仿宋" w:eastAsia="仿宋"/>
          <w:sz w:val="32"/>
        </w:rPr>
      </w:pPr>
      <w:r>
        <w:rPr>
          <w:rFonts w:hint="eastAsia" w:ascii="仿宋" w:hAnsi="仿宋" w:eastAsia="仿宋"/>
          <w:sz w:val="32"/>
        </w:rPr>
        <w:t>9.一般公共服务（类）财政事务（款）事业运行（项）：反映事业单位的基本支出，不包括行政单位（包括实行公务员管理的事业单位）后勤服务中心、医务室等附属事业单位。</w:t>
      </w:r>
    </w:p>
    <w:p>
      <w:pPr>
        <w:ind w:firstLine="640" w:firstLineChars="200"/>
        <w:jc w:val="left"/>
        <w:rPr>
          <w:rFonts w:ascii="仿宋" w:hAnsi="仿宋" w:eastAsia="仿宋"/>
          <w:sz w:val="32"/>
        </w:rPr>
      </w:pPr>
      <w:r>
        <w:rPr>
          <w:rFonts w:hint="eastAsia" w:ascii="仿宋" w:hAnsi="仿宋" w:eastAsia="仿宋"/>
          <w:sz w:val="32"/>
        </w:rPr>
        <w:t>10.一般公共服务（类）财政事务（款）其他财政事务支出（项）：反映除上述项目以外其他财政事务方面的支出。</w:t>
      </w:r>
    </w:p>
    <w:p>
      <w:pPr>
        <w:ind w:firstLine="640" w:firstLineChars="200"/>
        <w:jc w:val="left"/>
        <w:rPr>
          <w:rFonts w:ascii="仿宋" w:hAnsi="仿宋" w:eastAsia="仿宋"/>
          <w:sz w:val="32"/>
        </w:rPr>
      </w:pPr>
      <w:r>
        <w:rPr>
          <w:rFonts w:hint="eastAsia" w:ascii="仿宋" w:hAnsi="仿宋" w:eastAsia="仿宋"/>
          <w:sz w:val="32"/>
        </w:rPr>
        <w:t>11.社会保障和就业（类）行政事业单位离退休（款）归口管理的行政单位离退休（项）：反映实行归口管理的行政单位（包括实行公务员管理的事业单位）开支的离退休经费。</w:t>
      </w:r>
    </w:p>
    <w:p>
      <w:pPr>
        <w:ind w:firstLine="640" w:firstLineChars="200"/>
        <w:jc w:val="left"/>
        <w:rPr>
          <w:rFonts w:ascii="仿宋" w:hAnsi="仿宋" w:eastAsia="仿宋"/>
          <w:sz w:val="32"/>
        </w:rPr>
      </w:pPr>
      <w:r>
        <w:rPr>
          <w:rFonts w:hint="eastAsia" w:ascii="仿宋" w:hAnsi="仿宋" w:eastAsia="仿宋"/>
          <w:sz w:val="32"/>
        </w:rPr>
        <w:t>12.社会保障和就业（类）行政事业单位离退休（款）事业单位离退休（项）：反映实行归口管理的事业单位开支的离退休经费。</w:t>
      </w:r>
    </w:p>
    <w:p>
      <w:pPr>
        <w:ind w:firstLine="640" w:firstLineChars="200"/>
        <w:jc w:val="left"/>
        <w:rPr>
          <w:rFonts w:ascii="仿宋" w:hAnsi="仿宋" w:eastAsia="仿宋"/>
          <w:sz w:val="32"/>
        </w:rPr>
      </w:pPr>
      <w:r>
        <w:rPr>
          <w:rFonts w:hint="eastAsia" w:ascii="仿宋" w:hAnsi="仿宋" w:eastAsia="仿宋"/>
          <w:sz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ind w:firstLine="640" w:firstLineChars="200"/>
        <w:jc w:val="left"/>
        <w:rPr>
          <w:rFonts w:ascii="仿宋" w:hAnsi="仿宋" w:eastAsia="仿宋"/>
          <w:sz w:val="32"/>
        </w:rPr>
      </w:pPr>
      <w:r>
        <w:rPr>
          <w:rFonts w:hint="eastAsia" w:ascii="仿宋" w:hAnsi="仿宋" w:eastAsia="仿宋"/>
          <w:sz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ind w:firstLine="640" w:firstLineChars="200"/>
        <w:jc w:val="left"/>
        <w:rPr>
          <w:rFonts w:ascii="仿宋" w:hAnsi="仿宋" w:eastAsia="仿宋"/>
          <w:sz w:val="32"/>
        </w:rPr>
      </w:pPr>
      <w:r>
        <w:rPr>
          <w:rFonts w:hint="eastAsia" w:ascii="仿宋" w:hAnsi="仿宋" w:eastAsia="仿宋"/>
          <w:sz w:val="32"/>
        </w:rPr>
        <w:t>15.住房保障（类）住房改革（款）住房公积金（项）：反映行政事业单位按人力资源和社会保障部、财政部规定的基本工资和津贴补贴以及规定比例为职工缴纳的住房公积金。</w:t>
      </w:r>
    </w:p>
    <w:p>
      <w:pPr>
        <w:ind w:firstLine="640" w:firstLineChars="200"/>
        <w:jc w:val="left"/>
        <w:rPr>
          <w:rFonts w:ascii="仿宋" w:hAnsi="仿宋" w:eastAsia="仿宋"/>
          <w:sz w:val="32"/>
        </w:rPr>
      </w:pPr>
      <w:r>
        <w:rPr>
          <w:rFonts w:hint="eastAsia" w:ascii="仿宋" w:hAnsi="仿宋" w:eastAsia="仿宋"/>
          <w:sz w:val="32"/>
        </w:rPr>
        <w:t>16.基本支出：指保障机构正常运转、完成日常工作任务而发生的人员支出和公用支出。</w:t>
      </w:r>
    </w:p>
    <w:p>
      <w:pPr>
        <w:ind w:firstLine="640" w:firstLineChars="200"/>
        <w:jc w:val="left"/>
        <w:rPr>
          <w:rFonts w:ascii="仿宋" w:hAnsi="仿宋" w:eastAsia="仿宋"/>
          <w:sz w:val="32"/>
        </w:rPr>
      </w:pPr>
      <w:r>
        <w:rPr>
          <w:rFonts w:hint="eastAsia" w:ascii="仿宋" w:hAnsi="仿宋" w:eastAsia="仿宋"/>
          <w:sz w:val="32"/>
        </w:rPr>
        <w:t>17. 项目支出：指在基本支出之外为完成特定行政任务和事业发展目标所发生的支出。</w:t>
      </w:r>
    </w:p>
    <w:p>
      <w:pPr>
        <w:ind w:firstLine="640" w:firstLineChars="200"/>
        <w:jc w:val="left"/>
        <w:rPr>
          <w:rFonts w:ascii="仿宋" w:hAnsi="仿宋" w:eastAsia="仿宋"/>
          <w:sz w:val="32"/>
        </w:rPr>
      </w:pPr>
      <w:r>
        <w:rPr>
          <w:rFonts w:hint="eastAsia" w:ascii="仿宋" w:hAnsi="仿宋" w:eastAsia="仿宋"/>
          <w:sz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40" w:firstLineChars="200"/>
        <w:jc w:val="left"/>
        <w:rPr>
          <w:rFonts w:ascii="仿宋" w:hAnsi="仿宋" w:eastAsia="仿宋" w:cs="仿宋"/>
          <w:sz w:val="32"/>
          <w:szCs w:val="32"/>
        </w:rPr>
      </w:pPr>
      <w:r>
        <w:rPr>
          <w:rFonts w:hint="eastAsia" w:ascii="仿宋" w:hAnsi="仿宋" w:eastAsia="仿宋"/>
          <w:sz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lNzU1ZTVmN2IwZDBiYTU3MDUwMTAyZmJhMjY4Y2UifQ=="/>
  </w:docVars>
  <w:rsids>
    <w:rsidRoot w:val="00000000"/>
    <w:rsid w:val="1FBE21B5"/>
    <w:rsid w:val="284E3DD8"/>
    <w:rsid w:val="2E3B6405"/>
    <w:rsid w:val="32C52399"/>
    <w:rsid w:val="38D24D1F"/>
    <w:rsid w:val="3A3F2655"/>
    <w:rsid w:val="442D1C56"/>
    <w:rsid w:val="4A6718D3"/>
    <w:rsid w:val="4CF90543"/>
    <w:rsid w:val="7F323556"/>
    <w:rsid w:val="DBCF84E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4157</Words>
  <Characters>4352</Characters>
  <Lines>0</Lines>
  <Paragraphs>0</Paragraphs>
  <TotalTime>4</TotalTime>
  <ScaleCrop>false</ScaleCrop>
  <LinksUpToDate>false</LinksUpToDate>
  <CharactersWithSpaces>4361</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user</cp:lastModifiedBy>
  <dcterms:modified xsi:type="dcterms:W3CDTF">2025-09-02T14:55:45Z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C6669CAD3427480C8DD798012E7B12EA</vt:lpwstr>
  </property>
</Properties>
</file>