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40" w:firstLineChars="100"/>
        <w:jc w:val="left"/>
        <w:rPr>
          <w:rStyle w:val="5"/>
          <w:rFonts w:ascii="微软雅黑" w:hAnsi="微软雅黑" w:eastAsia="微软雅黑" w:cs="微软雅黑"/>
          <w:i w:val="0"/>
          <w:iCs w:val="0"/>
          <w:caps w:val="0"/>
          <w:color w:val="333333"/>
          <w:spacing w:val="0"/>
          <w:sz w:val="44"/>
          <w:szCs w:val="44"/>
          <w:shd w:val="clear" w:color="auto" w:fill="auto"/>
        </w:rPr>
      </w:pPr>
    </w:p>
    <w:p>
      <w:pPr>
        <w:ind w:firstLine="440" w:firstLineChars="100"/>
        <w:jc w:val="left"/>
        <w:rPr>
          <w:rStyle w:val="5"/>
          <w:rFonts w:ascii="微软雅黑" w:hAnsi="微软雅黑" w:eastAsia="微软雅黑" w:cs="微软雅黑"/>
          <w:i w:val="0"/>
          <w:iCs w:val="0"/>
          <w:caps w:val="0"/>
          <w:color w:val="333333"/>
          <w:spacing w:val="0"/>
          <w:sz w:val="44"/>
          <w:szCs w:val="44"/>
          <w:shd w:val="clear" w:color="auto" w:fill="auto"/>
        </w:rPr>
      </w:pPr>
    </w:p>
    <w:p>
      <w:pPr>
        <w:ind w:firstLine="440" w:firstLineChars="100"/>
        <w:jc w:val="left"/>
        <w:rPr>
          <w:rStyle w:val="5"/>
          <w:rFonts w:ascii="微软雅黑" w:hAnsi="微软雅黑" w:eastAsia="微软雅黑" w:cs="微软雅黑"/>
          <w:i w:val="0"/>
          <w:iCs w:val="0"/>
          <w:caps w:val="0"/>
          <w:color w:val="333333"/>
          <w:spacing w:val="0"/>
          <w:sz w:val="44"/>
          <w:szCs w:val="44"/>
          <w:shd w:val="clear" w:color="auto" w:fill="auto"/>
        </w:rPr>
      </w:pPr>
    </w:p>
    <w:p>
      <w:pPr>
        <w:ind w:firstLine="440" w:firstLineChars="100"/>
        <w:jc w:val="left"/>
        <w:rPr>
          <w:rStyle w:val="5"/>
          <w:rFonts w:ascii="微软雅黑" w:hAnsi="微软雅黑" w:eastAsia="微软雅黑" w:cs="微软雅黑"/>
          <w:i w:val="0"/>
          <w:iCs w:val="0"/>
          <w:caps w:val="0"/>
          <w:color w:val="333333"/>
          <w:spacing w:val="0"/>
          <w:sz w:val="44"/>
          <w:szCs w:val="44"/>
          <w:shd w:val="clear" w:color="auto" w:fill="auto"/>
        </w:rPr>
      </w:pPr>
    </w:p>
    <w:p>
      <w:pPr>
        <w:ind w:firstLine="440" w:firstLineChars="100"/>
        <w:jc w:val="left"/>
        <w:rPr>
          <w:rStyle w:val="5"/>
          <w:rFonts w:ascii="微软雅黑" w:hAnsi="微软雅黑" w:eastAsia="微软雅黑" w:cs="微软雅黑"/>
          <w:i w:val="0"/>
          <w:iCs w:val="0"/>
          <w:caps w:val="0"/>
          <w:color w:val="333333"/>
          <w:spacing w:val="0"/>
          <w:sz w:val="44"/>
          <w:szCs w:val="44"/>
          <w:shd w:val="clear" w:color="auto" w:fill="auto"/>
        </w:rPr>
      </w:pPr>
    </w:p>
    <w:p>
      <w:pPr>
        <w:ind w:firstLine="440" w:firstLineChars="100"/>
        <w:jc w:val="left"/>
        <w:rPr>
          <w:rStyle w:val="5"/>
          <w:rFonts w:ascii="微软雅黑" w:hAnsi="微软雅黑" w:eastAsia="微软雅黑" w:cs="微软雅黑"/>
          <w:i w:val="0"/>
          <w:iCs w:val="0"/>
          <w:caps w:val="0"/>
          <w:color w:val="333333"/>
          <w:spacing w:val="0"/>
          <w:sz w:val="44"/>
          <w:szCs w:val="44"/>
          <w:shd w:val="clear" w:color="auto" w:fill="auto"/>
        </w:rPr>
      </w:pPr>
    </w:p>
    <w:p>
      <w:pPr>
        <w:ind w:firstLine="441" w:firstLineChars="100"/>
        <w:jc w:val="left"/>
        <w:rPr>
          <w:rStyle w:val="5"/>
          <w:rFonts w:hint="eastAsia" w:ascii="宋体" w:hAnsi="宋体" w:eastAsia="宋体" w:cs="宋体"/>
          <w:b/>
          <w:bCs/>
          <w:i w:val="0"/>
          <w:iCs w:val="0"/>
          <w:caps w:val="0"/>
          <w:color w:val="333333"/>
          <w:spacing w:val="0"/>
          <w:sz w:val="44"/>
          <w:szCs w:val="44"/>
          <w:shd w:val="clear" w:color="auto" w:fill="auto"/>
        </w:rPr>
      </w:pPr>
      <w:r>
        <w:rPr>
          <w:rStyle w:val="5"/>
          <w:rFonts w:hint="eastAsia" w:ascii="宋体" w:hAnsi="宋体" w:eastAsia="宋体" w:cs="宋体"/>
          <w:b/>
          <w:bCs/>
          <w:i w:val="0"/>
          <w:iCs w:val="0"/>
          <w:caps w:val="0"/>
          <w:color w:val="333333"/>
          <w:spacing w:val="0"/>
          <w:sz w:val="44"/>
          <w:szCs w:val="44"/>
          <w:shd w:val="clear" w:color="auto" w:fill="auto"/>
        </w:rPr>
        <w:t>中共康平县委机构编制委员会办公室</w:t>
      </w:r>
    </w:p>
    <w:p>
      <w:pPr>
        <w:ind w:firstLine="1766" w:firstLineChars="400"/>
        <w:jc w:val="left"/>
        <w:rPr>
          <w:rStyle w:val="5"/>
          <w:rFonts w:hint="eastAsia" w:ascii="宋体" w:hAnsi="宋体" w:eastAsia="宋体" w:cs="宋体"/>
          <w:b/>
          <w:bCs/>
          <w:i w:val="0"/>
          <w:iCs w:val="0"/>
          <w:caps w:val="0"/>
          <w:color w:val="333333"/>
          <w:spacing w:val="0"/>
          <w:sz w:val="44"/>
          <w:szCs w:val="44"/>
          <w:shd w:val="clear" w:color="auto" w:fill="auto"/>
        </w:rPr>
      </w:pPr>
      <w:r>
        <w:rPr>
          <w:rStyle w:val="5"/>
          <w:rFonts w:hint="eastAsia" w:ascii="宋体" w:hAnsi="宋体" w:eastAsia="宋体" w:cs="宋体"/>
          <w:b/>
          <w:bCs/>
          <w:i w:val="0"/>
          <w:iCs w:val="0"/>
          <w:caps w:val="0"/>
          <w:color w:val="333333"/>
          <w:spacing w:val="0"/>
          <w:sz w:val="44"/>
          <w:szCs w:val="44"/>
          <w:shd w:val="clear" w:color="auto" w:fill="auto"/>
        </w:rPr>
        <w:t>202</w:t>
      </w:r>
      <w:r>
        <w:rPr>
          <w:rStyle w:val="5"/>
          <w:rFonts w:hint="eastAsia" w:ascii="宋体" w:hAnsi="宋体" w:eastAsia="宋体" w:cs="宋体"/>
          <w:b/>
          <w:bCs/>
          <w:i w:val="0"/>
          <w:iCs w:val="0"/>
          <w:caps w:val="0"/>
          <w:color w:val="333333"/>
          <w:spacing w:val="0"/>
          <w:sz w:val="44"/>
          <w:szCs w:val="44"/>
          <w:shd w:val="clear" w:color="auto" w:fill="auto"/>
          <w:lang w:val="en-US" w:eastAsia="zh-CN"/>
        </w:rPr>
        <w:t>2</w:t>
      </w:r>
      <w:r>
        <w:rPr>
          <w:rStyle w:val="5"/>
          <w:rFonts w:hint="eastAsia" w:ascii="宋体" w:hAnsi="宋体" w:eastAsia="宋体" w:cs="宋体"/>
          <w:b/>
          <w:bCs/>
          <w:i w:val="0"/>
          <w:iCs w:val="0"/>
          <w:caps w:val="0"/>
          <w:color w:val="333333"/>
          <w:spacing w:val="0"/>
          <w:sz w:val="44"/>
          <w:szCs w:val="44"/>
          <w:shd w:val="clear" w:color="auto" w:fill="auto"/>
        </w:rPr>
        <w:t>年预算公开说明</w:t>
      </w:r>
    </w:p>
    <w:p>
      <w:pPr>
        <w:rPr>
          <w:rStyle w:val="5"/>
          <w:rFonts w:ascii="微软雅黑" w:hAnsi="微软雅黑" w:eastAsia="微软雅黑" w:cs="微软雅黑"/>
          <w:i w:val="0"/>
          <w:iCs w:val="0"/>
          <w:caps w:val="0"/>
          <w:color w:val="333333"/>
          <w:spacing w:val="0"/>
          <w:sz w:val="33"/>
          <w:szCs w:val="33"/>
          <w:shd w:val="clear" w:fill="F4F4F4"/>
        </w:rPr>
      </w:pPr>
    </w:p>
    <w:p>
      <w:pPr>
        <w:rPr>
          <w:rStyle w:val="5"/>
          <w:rFonts w:ascii="微软雅黑" w:hAnsi="微软雅黑" w:eastAsia="微软雅黑" w:cs="微软雅黑"/>
          <w:i w:val="0"/>
          <w:iCs w:val="0"/>
          <w:caps w:val="0"/>
          <w:color w:val="333333"/>
          <w:spacing w:val="0"/>
          <w:sz w:val="33"/>
          <w:szCs w:val="33"/>
          <w:shd w:val="clear" w:fill="F4F4F4"/>
        </w:rPr>
      </w:pPr>
    </w:p>
    <w:p>
      <w:pPr>
        <w:rPr>
          <w:rStyle w:val="5"/>
          <w:rFonts w:ascii="微软雅黑" w:hAnsi="微软雅黑" w:eastAsia="微软雅黑" w:cs="微软雅黑"/>
          <w:i w:val="0"/>
          <w:iCs w:val="0"/>
          <w:caps w:val="0"/>
          <w:color w:val="333333"/>
          <w:spacing w:val="0"/>
          <w:sz w:val="33"/>
          <w:szCs w:val="33"/>
          <w:shd w:val="clear" w:fill="F4F4F4"/>
        </w:rPr>
      </w:pPr>
    </w:p>
    <w:p>
      <w:pPr>
        <w:rPr>
          <w:rStyle w:val="5"/>
          <w:rFonts w:ascii="微软雅黑" w:hAnsi="微软雅黑" w:eastAsia="微软雅黑" w:cs="微软雅黑"/>
          <w:i w:val="0"/>
          <w:iCs w:val="0"/>
          <w:caps w:val="0"/>
          <w:color w:val="333333"/>
          <w:spacing w:val="0"/>
          <w:sz w:val="33"/>
          <w:szCs w:val="33"/>
          <w:shd w:val="clear" w:fill="F4F4F4"/>
        </w:rPr>
      </w:pPr>
    </w:p>
    <w:p>
      <w:pPr>
        <w:rPr>
          <w:rStyle w:val="5"/>
          <w:rFonts w:ascii="微软雅黑" w:hAnsi="微软雅黑" w:eastAsia="微软雅黑" w:cs="微软雅黑"/>
          <w:i w:val="0"/>
          <w:iCs w:val="0"/>
          <w:caps w:val="0"/>
          <w:color w:val="333333"/>
          <w:spacing w:val="0"/>
          <w:sz w:val="33"/>
          <w:szCs w:val="33"/>
          <w:shd w:val="clear" w:fill="F4F4F4"/>
        </w:rPr>
      </w:pPr>
    </w:p>
    <w:p>
      <w:pPr>
        <w:rPr>
          <w:rStyle w:val="5"/>
          <w:rFonts w:ascii="微软雅黑" w:hAnsi="微软雅黑" w:eastAsia="微软雅黑" w:cs="微软雅黑"/>
          <w:i w:val="0"/>
          <w:iCs w:val="0"/>
          <w:caps w:val="0"/>
          <w:color w:val="333333"/>
          <w:spacing w:val="0"/>
          <w:sz w:val="33"/>
          <w:szCs w:val="33"/>
          <w:shd w:val="clear" w:fill="F4F4F4"/>
        </w:rPr>
      </w:pPr>
    </w:p>
    <w:p>
      <w:pPr>
        <w:rPr>
          <w:rStyle w:val="5"/>
          <w:rFonts w:ascii="微软雅黑" w:hAnsi="微软雅黑" w:eastAsia="微软雅黑" w:cs="微软雅黑"/>
          <w:i w:val="0"/>
          <w:iCs w:val="0"/>
          <w:caps w:val="0"/>
          <w:color w:val="333333"/>
          <w:spacing w:val="0"/>
          <w:sz w:val="33"/>
          <w:szCs w:val="33"/>
          <w:shd w:val="clear" w:fill="F4F4F4"/>
        </w:rPr>
      </w:pPr>
    </w:p>
    <w:p>
      <w:pPr>
        <w:rPr>
          <w:rStyle w:val="5"/>
          <w:rFonts w:ascii="微软雅黑" w:hAnsi="微软雅黑" w:eastAsia="微软雅黑" w:cs="微软雅黑"/>
          <w:i w:val="0"/>
          <w:iCs w:val="0"/>
          <w:caps w:val="0"/>
          <w:color w:val="333333"/>
          <w:spacing w:val="0"/>
          <w:sz w:val="33"/>
          <w:szCs w:val="33"/>
          <w:shd w:val="clear" w:fill="F4F4F4"/>
        </w:rPr>
      </w:pPr>
    </w:p>
    <w:p>
      <w:pPr>
        <w:rPr>
          <w:rStyle w:val="5"/>
          <w:rFonts w:ascii="微软雅黑" w:hAnsi="微软雅黑" w:eastAsia="微软雅黑" w:cs="微软雅黑"/>
          <w:i w:val="0"/>
          <w:iCs w:val="0"/>
          <w:caps w:val="0"/>
          <w:color w:val="333333"/>
          <w:spacing w:val="0"/>
          <w:sz w:val="33"/>
          <w:szCs w:val="33"/>
          <w:shd w:val="clear" w:fill="F4F4F4"/>
        </w:rPr>
      </w:pPr>
    </w:p>
    <w:p>
      <w:pPr>
        <w:rPr>
          <w:rStyle w:val="5"/>
          <w:rFonts w:ascii="微软雅黑" w:hAnsi="微软雅黑" w:eastAsia="微软雅黑" w:cs="微软雅黑"/>
          <w:i w:val="0"/>
          <w:iCs w:val="0"/>
          <w:caps w:val="0"/>
          <w:color w:val="333333"/>
          <w:spacing w:val="0"/>
          <w:sz w:val="33"/>
          <w:szCs w:val="33"/>
          <w:shd w:val="clear" w:fill="F4F4F4"/>
        </w:rPr>
      </w:pPr>
    </w:p>
    <w:p>
      <w:pPr>
        <w:pStyle w:val="2"/>
        <w:keepNext w:val="0"/>
        <w:keepLines w:val="0"/>
        <w:widowControl/>
        <w:suppressLineNumbers w:val="0"/>
        <w:shd w:val="clear" w:fill="FFFFFF" w:themeFill="background1"/>
        <w:spacing w:line="315" w:lineRule="atLeast"/>
        <w:ind w:firstLine="640" w:firstLineChars="200"/>
        <w:jc w:val="left"/>
        <w:rPr>
          <w:rStyle w:val="5"/>
          <w:rFonts w:hint="eastAsia" w:ascii="宋体" w:hAnsi="宋体" w:eastAsia="宋体" w:cs="宋体"/>
          <w:i w:val="0"/>
          <w:iCs w:val="0"/>
          <w:caps w:val="0"/>
          <w:color w:val="333333"/>
          <w:spacing w:val="0"/>
          <w:sz w:val="32"/>
          <w:szCs w:val="32"/>
          <w:shd w:val="clear" w:color="auto" w:fill="auto"/>
        </w:rPr>
      </w:pPr>
    </w:p>
    <w:p>
      <w:pPr>
        <w:jc w:val="left"/>
        <w:rPr>
          <w:rFonts w:hint="eastAsia" w:ascii="Calibri" w:hAnsi="Calibri"/>
          <w:b/>
          <w:sz w:val="32"/>
          <w:szCs w:val="32"/>
        </w:rPr>
      </w:pPr>
      <w:r>
        <w:rPr>
          <w:rFonts w:hint="eastAsia" w:ascii="Calibri" w:hAnsi="Calibri"/>
          <w:b/>
          <w:sz w:val="44"/>
          <w:szCs w:val="44"/>
        </w:rPr>
        <w:t>目录</w:t>
      </w:r>
    </w:p>
    <w:p>
      <w:pPr>
        <w:jc w:val="left"/>
        <w:rPr>
          <w:rFonts w:hint="eastAsia" w:ascii="Calibri" w:hAnsi="Calibri"/>
          <w:b/>
          <w:sz w:val="32"/>
          <w:szCs w:val="32"/>
        </w:rPr>
      </w:pPr>
      <w:r>
        <w:rPr>
          <w:rFonts w:hint="eastAsia" w:ascii="Calibri" w:hAnsi="Calibri"/>
          <w:b/>
          <w:sz w:val="32"/>
          <w:szCs w:val="32"/>
        </w:rPr>
        <w:t>第一部分</w:t>
      </w:r>
      <w:r>
        <w:rPr>
          <w:rFonts w:hint="eastAsia" w:ascii="Calibri" w:hAnsi="Calibri"/>
          <w:b/>
          <w:sz w:val="32"/>
          <w:szCs w:val="32"/>
          <w:lang w:val="en-US" w:eastAsia="zh-CN"/>
        </w:rPr>
        <w:t xml:space="preserve">    </w:t>
      </w:r>
      <w:r>
        <w:rPr>
          <w:rFonts w:hint="eastAsia" w:ascii="Calibri" w:hAnsi="Calibri"/>
          <w:b/>
          <w:sz w:val="32"/>
          <w:szCs w:val="32"/>
        </w:rPr>
        <w:t>部门主要职责及机构设置情况</w:t>
      </w:r>
    </w:p>
    <w:p>
      <w:pPr>
        <w:jc w:val="left"/>
        <w:rPr>
          <w:rFonts w:hint="eastAsia" w:ascii="Calibri" w:hAnsi="Calibri"/>
          <w:b/>
          <w:sz w:val="32"/>
          <w:szCs w:val="32"/>
        </w:rPr>
      </w:pPr>
      <w:r>
        <w:rPr>
          <w:rFonts w:hint="eastAsia" w:ascii="Calibri" w:hAnsi="Calibri"/>
          <w:b/>
          <w:sz w:val="32"/>
          <w:szCs w:val="32"/>
        </w:rPr>
        <w:t>第二部分</w:t>
      </w:r>
      <w:r>
        <w:rPr>
          <w:rFonts w:hint="eastAsia" w:ascii="Calibri" w:hAnsi="Calibri"/>
          <w:b/>
          <w:sz w:val="32"/>
          <w:szCs w:val="32"/>
          <w:lang w:val="en-US" w:eastAsia="zh-CN"/>
        </w:rPr>
        <w:t xml:space="preserve">    </w:t>
      </w:r>
      <w:r>
        <w:rPr>
          <w:rFonts w:hint="eastAsia" w:ascii="Calibri" w:hAnsi="Calibri"/>
          <w:b/>
          <w:sz w:val="32"/>
          <w:szCs w:val="32"/>
        </w:rPr>
        <w:t>中共康平县委</w:t>
      </w:r>
      <w:r>
        <w:rPr>
          <w:rFonts w:hint="eastAsia" w:ascii="Calibri" w:hAnsi="Calibri"/>
          <w:b/>
          <w:sz w:val="32"/>
          <w:szCs w:val="32"/>
          <w:lang w:eastAsia="zh-CN"/>
        </w:rPr>
        <w:t>机构编制委员会办公室</w:t>
      </w:r>
      <w:r>
        <w:rPr>
          <w:rFonts w:hint="eastAsia" w:ascii="Calibri" w:hAnsi="Calibri"/>
          <w:b/>
          <w:sz w:val="32"/>
          <w:szCs w:val="32"/>
        </w:rPr>
        <w:t>2022年单位预算公开表</w:t>
      </w:r>
    </w:p>
    <w:p>
      <w:pPr>
        <w:jc w:val="left"/>
        <w:rPr>
          <w:rFonts w:hint="eastAsia" w:ascii="仿宋_GB2312" w:hAnsi="Calibri" w:eastAsia="仿宋_GB2312"/>
          <w:b/>
          <w:sz w:val="32"/>
          <w:szCs w:val="32"/>
        </w:rPr>
      </w:pPr>
      <w:r>
        <w:rPr>
          <w:rFonts w:hint="eastAsia" w:ascii="仿宋_GB2312" w:hAnsi="Calibri" w:eastAsia="仿宋_GB2312"/>
          <w:b/>
          <w:sz w:val="32"/>
          <w:szCs w:val="32"/>
        </w:rPr>
        <w:t>表１.收支预算总表</w:t>
      </w:r>
    </w:p>
    <w:p>
      <w:pPr>
        <w:jc w:val="left"/>
        <w:rPr>
          <w:rFonts w:hint="eastAsia" w:ascii="仿宋_GB2312" w:hAnsi="Calibri" w:eastAsia="仿宋_GB2312"/>
          <w:b/>
          <w:sz w:val="32"/>
          <w:szCs w:val="32"/>
        </w:rPr>
      </w:pPr>
      <w:r>
        <w:rPr>
          <w:rFonts w:hint="eastAsia" w:ascii="仿宋_GB2312" w:hAnsi="Calibri" w:eastAsia="仿宋_GB2312"/>
          <w:b/>
          <w:sz w:val="32"/>
          <w:szCs w:val="32"/>
        </w:rPr>
        <w:t>表２.收入预算总表</w:t>
      </w:r>
    </w:p>
    <w:p>
      <w:pPr>
        <w:jc w:val="left"/>
        <w:rPr>
          <w:rFonts w:hint="eastAsia" w:ascii="仿宋_GB2312" w:hAnsi="Calibri" w:eastAsia="仿宋_GB2312"/>
          <w:b/>
          <w:sz w:val="32"/>
          <w:szCs w:val="32"/>
        </w:rPr>
      </w:pPr>
      <w:r>
        <w:rPr>
          <w:rFonts w:hint="eastAsia" w:ascii="仿宋_GB2312" w:hAnsi="Calibri" w:eastAsia="仿宋_GB2312"/>
          <w:b/>
          <w:sz w:val="32"/>
          <w:szCs w:val="32"/>
        </w:rPr>
        <w:t>表３.支出预算总表</w:t>
      </w:r>
    </w:p>
    <w:p>
      <w:pPr>
        <w:jc w:val="left"/>
        <w:rPr>
          <w:rFonts w:hint="eastAsia" w:ascii="仿宋_GB2312" w:hAnsi="Calibri" w:eastAsia="仿宋_GB2312"/>
          <w:b/>
          <w:sz w:val="32"/>
          <w:szCs w:val="32"/>
        </w:rPr>
      </w:pPr>
      <w:r>
        <w:rPr>
          <w:rFonts w:hint="eastAsia" w:ascii="仿宋_GB2312" w:hAnsi="Calibri" w:eastAsia="仿宋_GB2312"/>
          <w:b/>
          <w:sz w:val="32"/>
          <w:szCs w:val="32"/>
        </w:rPr>
        <w:t>表４.财政拨款收支预算总表</w:t>
      </w:r>
    </w:p>
    <w:p>
      <w:pPr>
        <w:jc w:val="left"/>
        <w:rPr>
          <w:rFonts w:hint="eastAsia" w:ascii="仿宋_GB2312" w:hAnsi="Calibri" w:eastAsia="仿宋_GB2312"/>
          <w:b/>
          <w:sz w:val="32"/>
          <w:szCs w:val="32"/>
        </w:rPr>
      </w:pPr>
      <w:r>
        <w:rPr>
          <w:rFonts w:hint="eastAsia" w:ascii="仿宋_GB2312" w:hAnsi="Calibri" w:eastAsia="仿宋_GB2312"/>
          <w:b/>
          <w:sz w:val="32"/>
          <w:szCs w:val="32"/>
        </w:rPr>
        <w:t>表５.一般公共预算支出表</w:t>
      </w:r>
    </w:p>
    <w:p>
      <w:pPr>
        <w:jc w:val="left"/>
        <w:rPr>
          <w:rFonts w:hint="eastAsia" w:ascii="仿宋_GB2312" w:hAnsi="Calibri" w:eastAsia="仿宋_GB2312"/>
          <w:b/>
          <w:sz w:val="32"/>
          <w:szCs w:val="32"/>
        </w:rPr>
      </w:pPr>
      <w:r>
        <w:rPr>
          <w:rFonts w:hint="eastAsia" w:ascii="仿宋_GB2312" w:hAnsi="Calibri" w:eastAsia="仿宋_GB2312"/>
          <w:b/>
          <w:sz w:val="32"/>
          <w:szCs w:val="32"/>
        </w:rPr>
        <w:t>表６.一般公共预算基本支出表</w:t>
      </w:r>
    </w:p>
    <w:p>
      <w:pPr>
        <w:jc w:val="left"/>
        <w:rPr>
          <w:rFonts w:hint="eastAsia" w:ascii="仿宋_GB2312" w:hAnsi="Calibri" w:eastAsia="仿宋_GB2312"/>
          <w:b/>
          <w:sz w:val="32"/>
          <w:szCs w:val="32"/>
        </w:rPr>
      </w:pPr>
      <w:r>
        <w:rPr>
          <w:rFonts w:hint="eastAsia" w:ascii="仿宋_GB2312" w:hAnsi="Calibri" w:eastAsia="仿宋_GB2312"/>
          <w:b/>
          <w:sz w:val="32"/>
          <w:szCs w:val="32"/>
        </w:rPr>
        <w:t>表７.一般公共预算“三公”经费支出表</w:t>
      </w:r>
    </w:p>
    <w:p>
      <w:pPr>
        <w:jc w:val="left"/>
        <w:rPr>
          <w:rFonts w:hint="eastAsia" w:ascii="仿宋_GB2312" w:hAnsi="Calibri" w:eastAsia="仿宋_GB2312"/>
          <w:b/>
          <w:sz w:val="32"/>
          <w:szCs w:val="32"/>
        </w:rPr>
      </w:pPr>
      <w:r>
        <w:rPr>
          <w:rFonts w:hint="eastAsia" w:ascii="仿宋_GB2312" w:hAnsi="Calibri" w:eastAsia="仿宋_GB2312"/>
          <w:b/>
          <w:sz w:val="32"/>
          <w:szCs w:val="32"/>
        </w:rPr>
        <w:t>表８.政府性基金预算支出表</w:t>
      </w:r>
    </w:p>
    <w:p>
      <w:pPr>
        <w:jc w:val="left"/>
        <w:rPr>
          <w:rFonts w:hint="eastAsia" w:ascii="仿宋_GB2312" w:hAnsi="Calibri" w:eastAsia="仿宋_GB2312"/>
          <w:b/>
          <w:sz w:val="32"/>
          <w:szCs w:val="32"/>
        </w:rPr>
      </w:pPr>
      <w:r>
        <w:rPr>
          <w:rFonts w:hint="eastAsia" w:ascii="仿宋_GB2312" w:hAnsi="Calibri" w:eastAsia="仿宋_GB2312"/>
          <w:b/>
          <w:sz w:val="32"/>
          <w:szCs w:val="32"/>
        </w:rPr>
        <w:t>表９.项目支出预算表</w:t>
      </w:r>
    </w:p>
    <w:p>
      <w:pPr>
        <w:jc w:val="left"/>
        <w:rPr>
          <w:rFonts w:hint="eastAsia" w:ascii="仿宋_GB2312" w:hAnsi="Calibri" w:eastAsia="仿宋_GB2312"/>
          <w:b/>
          <w:sz w:val="32"/>
          <w:szCs w:val="32"/>
        </w:rPr>
      </w:pPr>
      <w:r>
        <w:rPr>
          <w:rFonts w:hint="eastAsia" w:ascii="仿宋_GB2312" w:hAnsi="Calibri" w:eastAsia="仿宋_GB2312"/>
          <w:b/>
          <w:sz w:val="32"/>
          <w:szCs w:val="32"/>
        </w:rPr>
        <w:t>表10.支出功能分类预算表</w:t>
      </w:r>
    </w:p>
    <w:p>
      <w:pPr>
        <w:jc w:val="left"/>
        <w:rPr>
          <w:rFonts w:hint="eastAsia" w:ascii="仿宋_GB2312" w:hAnsi="Calibri" w:eastAsia="仿宋_GB2312"/>
          <w:b/>
          <w:sz w:val="32"/>
          <w:szCs w:val="32"/>
        </w:rPr>
      </w:pPr>
      <w:r>
        <w:rPr>
          <w:rFonts w:hint="eastAsia" w:ascii="仿宋_GB2312" w:hAnsi="Calibri" w:eastAsia="仿宋_GB2312"/>
          <w:b/>
          <w:sz w:val="32"/>
          <w:szCs w:val="32"/>
        </w:rPr>
        <w:t>表11.支出经济分类预算表</w:t>
      </w:r>
    </w:p>
    <w:p>
      <w:pPr>
        <w:jc w:val="left"/>
        <w:rPr>
          <w:rFonts w:hint="eastAsia" w:ascii="仿宋_GB2312" w:hAnsi="Calibri" w:eastAsia="仿宋_GB2312"/>
          <w:b/>
          <w:sz w:val="32"/>
          <w:szCs w:val="32"/>
        </w:rPr>
      </w:pPr>
      <w:r>
        <w:rPr>
          <w:rFonts w:hint="eastAsia" w:ascii="仿宋_GB2312" w:hAnsi="Calibri" w:eastAsia="仿宋_GB2312"/>
          <w:b/>
          <w:sz w:val="32"/>
          <w:szCs w:val="32"/>
        </w:rPr>
        <w:t>表12.支出经济分类预算表</w:t>
      </w:r>
    </w:p>
    <w:p>
      <w:pPr>
        <w:jc w:val="left"/>
        <w:rPr>
          <w:rFonts w:hint="eastAsia" w:ascii="仿宋_GB2312" w:hAnsi="Calibri" w:eastAsia="仿宋_GB2312"/>
          <w:b/>
          <w:sz w:val="32"/>
          <w:szCs w:val="32"/>
        </w:rPr>
      </w:pPr>
      <w:r>
        <w:rPr>
          <w:rFonts w:hint="eastAsia" w:ascii="仿宋_GB2312" w:hAnsi="Calibri" w:eastAsia="仿宋_GB2312"/>
          <w:b/>
          <w:sz w:val="32"/>
          <w:szCs w:val="32"/>
        </w:rPr>
        <w:t>表13.债务支出预算表</w:t>
      </w:r>
    </w:p>
    <w:p>
      <w:pPr>
        <w:jc w:val="left"/>
        <w:rPr>
          <w:rFonts w:hint="eastAsia" w:ascii="仿宋_GB2312" w:hAnsi="Calibri" w:eastAsia="仿宋_GB2312"/>
          <w:b/>
          <w:sz w:val="32"/>
          <w:szCs w:val="32"/>
        </w:rPr>
      </w:pPr>
      <w:r>
        <w:rPr>
          <w:rFonts w:hint="eastAsia" w:ascii="仿宋_GB2312" w:hAnsi="Calibri" w:eastAsia="仿宋_GB2312"/>
          <w:b/>
          <w:sz w:val="32"/>
          <w:szCs w:val="32"/>
        </w:rPr>
        <w:t>表14.政府采购支出预算表</w:t>
      </w:r>
    </w:p>
    <w:p>
      <w:pPr>
        <w:jc w:val="left"/>
        <w:rPr>
          <w:rFonts w:hint="eastAsia" w:ascii="仿宋_GB2312" w:hAnsi="Calibri" w:eastAsia="仿宋_GB2312"/>
          <w:b/>
          <w:sz w:val="32"/>
          <w:szCs w:val="32"/>
        </w:rPr>
      </w:pPr>
      <w:r>
        <w:rPr>
          <w:rFonts w:hint="eastAsia" w:ascii="仿宋_GB2312" w:hAnsi="Calibri" w:eastAsia="仿宋_GB2312"/>
          <w:b/>
          <w:sz w:val="32"/>
          <w:szCs w:val="32"/>
        </w:rPr>
        <w:t>表15.政府购买服务支出预算表</w:t>
      </w:r>
    </w:p>
    <w:p>
      <w:pPr>
        <w:jc w:val="left"/>
        <w:rPr>
          <w:rFonts w:hint="eastAsia" w:ascii="仿宋_GB2312" w:hAnsi="Calibri" w:eastAsia="仿宋_GB2312"/>
          <w:b/>
          <w:sz w:val="32"/>
          <w:szCs w:val="32"/>
        </w:rPr>
      </w:pPr>
      <w:r>
        <w:rPr>
          <w:rFonts w:hint="eastAsia" w:ascii="仿宋_GB2312" w:hAnsi="Calibri" w:eastAsia="仿宋_GB2312"/>
          <w:b/>
          <w:sz w:val="32"/>
          <w:szCs w:val="32"/>
        </w:rPr>
        <w:t>表16.部门（单位）整体绩效目标表</w:t>
      </w:r>
    </w:p>
    <w:p>
      <w:pPr>
        <w:jc w:val="left"/>
        <w:rPr>
          <w:rFonts w:hint="eastAsia"/>
        </w:rPr>
      </w:pPr>
      <w:r>
        <w:rPr>
          <w:rFonts w:hint="eastAsia" w:ascii="仿宋_GB2312" w:hAnsi="Calibri" w:eastAsia="仿宋_GB2312"/>
          <w:b/>
          <w:sz w:val="32"/>
          <w:szCs w:val="32"/>
        </w:rPr>
        <w:t>表17.部门预算项目（政策）绩效目标表</w:t>
      </w:r>
    </w:p>
    <w:p>
      <w:pPr>
        <w:widowControl w:val="0"/>
        <w:ind w:firstLine="642" w:firstLineChars="200"/>
        <w:jc w:val="both"/>
        <w:rPr>
          <w:rFonts w:hint="eastAsia" w:ascii="黑体" w:hAnsi="黑体" w:eastAsia="黑体" w:cs="黑体"/>
          <w:b/>
          <w:bCs w:val="0"/>
          <w:kern w:val="2"/>
          <w:sz w:val="32"/>
          <w:szCs w:val="32"/>
          <w:lang w:val="en-US" w:eastAsia="zh-CN" w:bidi="ar-SA"/>
        </w:rPr>
      </w:pPr>
    </w:p>
    <w:p>
      <w:pPr>
        <w:pStyle w:val="2"/>
        <w:keepNext w:val="0"/>
        <w:keepLines w:val="0"/>
        <w:widowControl/>
        <w:suppressLineNumbers w:val="0"/>
        <w:shd w:val="clear" w:fill="FFFFFF" w:themeFill="background1"/>
        <w:spacing w:line="315" w:lineRule="atLeast"/>
        <w:ind w:firstLine="640" w:firstLineChars="200"/>
        <w:jc w:val="left"/>
        <w:rPr>
          <w:rStyle w:val="5"/>
          <w:rFonts w:hint="eastAsia" w:ascii="宋体" w:hAnsi="宋体" w:eastAsia="宋体" w:cs="宋体"/>
          <w:i w:val="0"/>
          <w:iCs w:val="0"/>
          <w:caps w:val="0"/>
          <w:color w:val="333333"/>
          <w:spacing w:val="0"/>
          <w:sz w:val="32"/>
          <w:szCs w:val="32"/>
          <w:shd w:val="clear" w:color="auto" w:fill="auto"/>
        </w:rPr>
      </w:pPr>
    </w:p>
    <w:p>
      <w:pPr>
        <w:pStyle w:val="2"/>
        <w:keepNext w:val="0"/>
        <w:keepLines w:val="0"/>
        <w:widowControl/>
        <w:suppressLineNumbers w:val="0"/>
        <w:shd w:val="clear" w:fill="FFFFFF" w:themeFill="background1"/>
        <w:spacing w:line="315" w:lineRule="atLeast"/>
        <w:ind w:firstLine="642" w:firstLineChars="200"/>
        <w:jc w:val="left"/>
        <w:rPr>
          <w:rFonts w:hint="eastAsia" w:ascii="黑体" w:hAnsi="黑体" w:eastAsia="黑体" w:cs="黑体"/>
          <w:b/>
          <w:bCs w:val="0"/>
          <w:kern w:val="0"/>
          <w:sz w:val="32"/>
          <w:szCs w:val="32"/>
          <w:lang w:val="en-US" w:eastAsia="zh-CN" w:bidi="ar-SA"/>
        </w:rPr>
      </w:pPr>
      <w:r>
        <w:rPr>
          <w:rFonts w:hint="eastAsia" w:ascii="黑体" w:hAnsi="黑体" w:eastAsia="黑体" w:cs="黑体"/>
          <w:b/>
          <w:bCs w:val="0"/>
          <w:kern w:val="0"/>
          <w:sz w:val="32"/>
          <w:szCs w:val="32"/>
          <w:lang w:val="en-US" w:eastAsia="zh-CN" w:bidi="ar-SA"/>
        </w:rPr>
        <w:t>一、部门主要职责及机构设置情况</w:t>
      </w:r>
    </w:p>
    <w:p>
      <w:pPr>
        <w:pStyle w:val="2"/>
        <w:keepNext w:val="0"/>
        <w:keepLines w:val="0"/>
        <w:widowControl/>
        <w:suppressLineNumbers w:val="0"/>
        <w:shd w:val="clear" w:fill="FFFFFF" w:themeFill="background1"/>
        <w:spacing w:line="315" w:lineRule="atLeast"/>
        <w:ind w:left="0" w:firstLine="420"/>
        <w:jc w:val="left"/>
        <w:rPr>
          <w:rStyle w:val="5"/>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（一）主要职能</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（1）在县委和委员会领导下，负责全县各级党委、人大、政府、政协、监委、群众团体机关及事业单位管理体制和机构改革、机构编制管理工作。</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2）贯彻执行上级关于行政体制改革和机构编制管理的方针政策、法律法规，贯彻执行省、市行政体制改革和机构编制管理政策以及相关地方性法规和省、市政府规章，统筹谋划全县行政体制改革，负责党政群机构改革和事业单位改革。</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（3）负责全县各级机关、事业单位机构编制总量管理和实名制管理，拟订全县各级机关行政编制分配方案和全县事业单位编制总量控制方案。</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（4）拟订县级机关机构改革方案并组织实施，审核县级机关各部门和乡镇、街道机构改革方案。</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（5）按照管理权限，负责县级机关机构设置、职能配置、人员编制和领导职数配备的审核和审批，负责县级议事协调机构日常管理，协调县级机关各部门之间的职责分工。</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（6）负责县直部门权责清单管理工作。</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（7）拟订县直事业单位机构改革方案并组织实施，配合行业管理体制改革，推进相关事业单位机构改革。</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（8）按照管理权限，负责县直事业单位机构设置、职能配置、人员编制、领导职数、经费渠道等事项的审核和审批，拟定全县事业单位编制标准。</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9）监督检查全县各级机构改革方案和机构编制管理政策、制度执行情况，党政群机构改革、事业单位机构改革政策落实情况，拟订全县控编减编方案并组织实施，建立机构编制工作考核评估制度，会同有关部门查处机构编制违法违纪行为。</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（10）建立和完善全县事业单位法人登记制度，依法对县直事业单位进行登记管理，承办县直机关统一社会信用代码赋码工作。</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（11）负责县以下垂直管理系统机关和事业单位机构编制管理。</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（12）负责全县基础域名管理工作。</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（13）完成县委和委员会交办的其他任务。</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（二）机构设置</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单位内设2个科室。</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Fonts w:hint="eastAsia" w:ascii="黑体" w:hAnsi="黑体" w:eastAsia="黑体" w:cs="黑体"/>
          <w:b/>
          <w:bCs w:val="0"/>
          <w:kern w:val="0"/>
          <w:sz w:val="32"/>
          <w:szCs w:val="32"/>
          <w:lang w:val="en-US" w:eastAsia="zh-CN" w:bidi="ar-SA"/>
        </w:rPr>
        <w:t>二、预算收支增减变化情况</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我单位各项经费均为财政拨款，各项支出均按财政要求支出。</w:t>
      </w:r>
      <w:r>
        <w:rPr>
          <w:rStyle w:val="5"/>
          <w:rFonts w:hint="eastAsia" w:ascii="宋体" w:hAnsi="宋体" w:eastAsia="宋体" w:cs="宋体"/>
          <w:i w:val="0"/>
          <w:iCs w:val="0"/>
          <w:caps w:val="0"/>
          <w:color w:val="333333"/>
          <w:spacing w:val="0"/>
          <w:sz w:val="32"/>
          <w:szCs w:val="32"/>
          <w:shd w:val="clear" w:color="auto" w:fill="auto"/>
          <w:lang w:eastAsia="zh-CN"/>
        </w:rPr>
        <w:t>收入包括：一般公共预算拨款收入；支出包括：一般公共服务支出、社会保障和就业支出、卫生健康支出、住房保障支出等。</w:t>
      </w:r>
      <w:r>
        <w:rPr>
          <w:rStyle w:val="5"/>
          <w:rFonts w:hint="eastAsia" w:ascii="宋体" w:hAnsi="宋体" w:eastAsia="宋体" w:cs="宋体"/>
          <w:i w:val="0"/>
          <w:iCs w:val="0"/>
          <w:caps w:val="0"/>
          <w:color w:val="333333"/>
          <w:spacing w:val="0"/>
          <w:sz w:val="32"/>
          <w:szCs w:val="32"/>
          <w:shd w:val="clear" w:color="auto" w:fill="auto"/>
        </w:rPr>
        <w:t>202</w:t>
      </w:r>
      <w:r>
        <w:rPr>
          <w:rStyle w:val="5"/>
          <w:rFonts w:hint="eastAsia" w:ascii="宋体" w:hAnsi="宋体" w:eastAsia="宋体" w:cs="宋体"/>
          <w:i w:val="0"/>
          <w:iCs w:val="0"/>
          <w:caps w:val="0"/>
          <w:color w:val="333333"/>
          <w:spacing w:val="0"/>
          <w:sz w:val="32"/>
          <w:szCs w:val="32"/>
          <w:shd w:val="clear" w:color="auto" w:fill="auto"/>
          <w:lang w:val="en-US" w:eastAsia="zh-CN"/>
        </w:rPr>
        <w:t>1</w:t>
      </w:r>
      <w:r>
        <w:rPr>
          <w:rStyle w:val="5"/>
          <w:rFonts w:hint="eastAsia" w:ascii="宋体" w:hAnsi="宋体" w:eastAsia="宋体" w:cs="宋体"/>
          <w:i w:val="0"/>
          <w:iCs w:val="0"/>
          <w:caps w:val="0"/>
          <w:color w:val="333333"/>
          <w:spacing w:val="0"/>
          <w:sz w:val="32"/>
          <w:szCs w:val="32"/>
          <w:shd w:val="clear" w:color="auto" w:fill="auto"/>
        </w:rPr>
        <w:t>年县委编办财政拨款收入年初预算数68.41万元，202</w:t>
      </w:r>
      <w:r>
        <w:rPr>
          <w:rStyle w:val="5"/>
          <w:rFonts w:hint="eastAsia" w:ascii="宋体" w:hAnsi="宋体" w:eastAsia="宋体" w:cs="宋体"/>
          <w:i w:val="0"/>
          <w:iCs w:val="0"/>
          <w:caps w:val="0"/>
          <w:color w:val="333333"/>
          <w:spacing w:val="0"/>
          <w:sz w:val="32"/>
          <w:szCs w:val="32"/>
          <w:shd w:val="clear" w:color="auto" w:fill="auto"/>
          <w:lang w:val="en-US" w:eastAsia="zh-CN"/>
        </w:rPr>
        <w:t>2</w:t>
      </w:r>
      <w:r>
        <w:rPr>
          <w:rStyle w:val="5"/>
          <w:rFonts w:hint="eastAsia" w:ascii="宋体" w:hAnsi="宋体" w:eastAsia="宋体" w:cs="宋体"/>
          <w:i w:val="0"/>
          <w:iCs w:val="0"/>
          <w:caps w:val="0"/>
          <w:color w:val="333333"/>
          <w:spacing w:val="0"/>
          <w:sz w:val="32"/>
          <w:szCs w:val="32"/>
          <w:shd w:val="clear" w:color="auto" w:fill="auto"/>
        </w:rPr>
        <w:t>年县委编办财政拨款收入年初预算数</w:t>
      </w:r>
      <w:r>
        <w:rPr>
          <w:rStyle w:val="5"/>
          <w:rFonts w:hint="eastAsia" w:ascii="宋体" w:hAnsi="宋体" w:eastAsia="宋体" w:cs="宋体"/>
          <w:i w:val="0"/>
          <w:iCs w:val="0"/>
          <w:caps w:val="0"/>
          <w:color w:val="333333"/>
          <w:spacing w:val="0"/>
          <w:sz w:val="32"/>
          <w:szCs w:val="32"/>
          <w:shd w:val="clear" w:color="auto" w:fill="auto"/>
          <w:lang w:val="en-US" w:eastAsia="zh-CN"/>
        </w:rPr>
        <w:t>93.08</w:t>
      </w:r>
      <w:r>
        <w:rPr>
          <w:rStyle w:val="5"/>
          <w:rFonts w:hint="eastAsia" w:ascii="宋体" w:hAnsi="宋体" w:eastAsia="宋体" w:cs="宋体"/>
          <w:i w:val="0"/>
          <w:iCs w:val="0"/>
          <w:caps w:val="0"/>
          <w:color w:val="333333"/>
          <w:spacing w:val="0"/>
          <w:sz w:val="32"/>
          <w:szCs w:val="32"/>
          <w:shd w:val="clear" w:color="auto" w:fill="auto"/>
        </w:rPr>
        <w:t>万元，202</w:t>
      </w:r>
      <w:r>
        <w:rPr>
          <w:rStyle w:val="5"/>
          <w:rFonts w:hint="eastAsia" w:ascii="宋体" w:hAnsi="宋体" w:eastAsia="宋体" w:cs="宋体"/>
          <w:i w:val="0"/>
          <w:iCs w:val="0"/>
          <w:caps w:val="0"/>
          <w:color w:val="333333"/>
          <w:spacing w:val="0"/>
          <w:sz w:val="32"/>
          <w:szCs w:val="32"/>
          <w:shd w:val="clear" w:color="auto" w:fill="auto"/>
          <w:lang w:val="en-US" w:eastAsia="zh-CN"/>
        </w:rPr>
        <w:t>2</w:t>
      </w:r>
      <w:r>
        <w:rPr>
          <w:rStyle w:val="5"/>
          <w:rFonts w:hint="eastAsia" w:ascii="宋体" w:hAnsi="宋体" w:eastAsia="宋体" w:cs="宋体"/>
          <w:i w:val="0"/>
          <w:iCs w:val="0"/>
          <w:caps w:val="0"/>
          <w:color w:val="333333"/>
          <w:spacing w:val="0"/>
          <w:sz w:val="32"/>
          <w:szCs w:val="32"/>
          <w:shd w:val="clear" w:color="auto" w:fill="auto"/>
        </w:rPr>
        <w:t>年比202</w:t>
      </w:r>
      <w:r>
        <w:rPr>
          <w:rStyle w:val="5"/>
          <w:rFonts w:hint="eastAsia" w:ascii="宋体" w:hAnsi="宋体" w:eastAsia="宋体" w:cs="宋体"/>
          <w:i w:val="0"/>
          <w:iCs w:val="0"/>
          <w:caps w:val="0"/>
          <w:color w:val="333333"/>
          <w:spacing w:val="0"/>
          <w:sz w:val="32"/>
          <w:szCs w:val="32"/>
          <w:shd w:val="clear" w:color="auto" w:fill="auto"/>
          <w:lang w:val="en-US" w:eastAsia="zh-CN"/>
        </w:rPr>
        <w:t>1</w:t>
      </w:r>
      <w:r>
        <w:rPr>
          <w:rStyle w:val="5"/>
          <w:rFonts w:hint="eastAsia" w:ascii="宋体" w:hAnsi="宋体" w:eastAsia="宋体" w:cs="宋体"/>
          <w:i w:val="0"/>
          <w:iCs w:val="0"/>
          <w:caps w:val="0"/>
          <w:color w:val="333333"/>
          <w:spacing w:val="0"/>
          <w:sz w:val="32"/>
          <w:szCs w:val="32"/>
          <w:shd w:val="clear" w:color="auto" w:fill="auto"/>
        </w:rPr>
        <w:t>年</w:t>
      </w:r>
      <w:r>
        <w:rPr>
          <w:rStyle w:val="5"/>
          <w:rFonts w:hint="eastAsia" w:ascii="宋体" w:hAnsi="宋体" w:eastAsia="宋体" w:cs="宋体"/>
          <w:i w:val="0"/>
          <w:iCs w:val="0"/>
          <w:caps w:val="0"/>
          <w:color w:val="333333"/>
          <w:spacing w:val="0"/>
          <w:sz w:val="32"/>
          <w:szCs w:val="32"/>
          <w:shd w:val="clear" w:color="auto" w:fill="auto"/>
          <w:lang w:eastAsia="zh-CN"/>
        </w:rPr>
        <w:t>增加</w:t>
      </w:r>
      <w:r>
        <w:rPr>
          <w:rStyle w:val="5"/>
          <w:rFonts w:hint="eastAsia" w:ascii="宋体" w:hAnsi="宋体" w:eastAsia="宋体" w:cs="宋体"/>
          <w:i w:val="0"/>
          <w:iCs w:val="0"/>
          <w:caps w:val="0"/>
          <w:color w:val="333333"/>
          <w:spacing w:val="0"/>
          <w:sz w:val="32"/>
          <w:szCs w:val="32"/>
          <w:shd w:val="clear" w:color="auto" w:fill="auto"/>
          <w:lang w:val="en-US" w:eastAsia="zh-CN"/>
        </w:rPr>
        <w:t>24.67</w:t>
      </w:r>
      <w:r>
        <w:rPr>
          <w:rStyle w:val="5"/>
          <w:rFonts w:hint="eastAsia" w:ascii="宋体" w:hAnsi="宋体" w:eastAsia="宋体" w:cs="宋体"/>
          <w:i w:val="0"/>
          <w:iCs w:val="0"/>
          <w:caps w:val="0"/>
          <w:color w:val="333333"/>
          <w:spacing w:val="0"/>
          <w:sz w:val="32"/>
          <w:szCs w:val="32"/>
          <w:shd w:val="clear" w:color="auto" w:fill="auto"/>
        </w:rPr>
        <w:t>万元，</w:t>
      </w:r>
      <w:r>
        <w:rPr>
          <w:rStyle w:val="5"/>
          <w:rFonts w:hint="eastAsia" w:ascii="宋体" w:hAnsi="宋体" w:eastAsia="宋体" w:cs="宋体"/>
          <w:i w:val="0"/>
          <w:iCs w:val="0"/>
          <w:caps w:val="0"/>
          <w:color w:val="333333"/>
          <w:spacing w:val="0"/>
          <w:sz w:val="32"/>
          <w:szCs w:val="32"/>
          <w:shd w:val="clear" w:color="auto" w:fill="auto"/>
          <w:lang w:eastAsia="zh-CN"/>
        </w:rPr>
        <w:t>增加</w:t>
      </w:r>
      <w:r>
        <w:rPr>
          <w:rStyle w:val="5"/>
          <w:rFonts w:hint="eastAsia" w:ascii="宋体" w:hAnsi="宋体" w:eastAsia="宋体" w:cs="宋体"/>
          <w:i w:val="0"/>
          <w:iCs w:val="0"/>
          <w:caps w:val="0"/>
          <w:color w:val="333333"/>
          <w:spacing w:val="0"/>
          <w:sz w:val="32"/>
          <w:szCs w:val="32"/>
          <w:shd w:val="clear" w:color="auto" w:fill="auto"/>
        </w:rPr>
        <w:t>原因是财政拨款开支人数</w:t>
      </w:r>
      <w:r>
        <w:rPr>
          <w:rStyle w:val="5"/>
          <w:rFonts w:hint="eastAsia" w:ascii="宋体" w:hAnsi="宋体" w:eastAsia="宋体" w:cs="宋体"/>
          <w:i w:val="0"/>
          <w:iCs w:val="0"/>
          <w:caps w:val="0"/>
          <w:color w:val="333333"/>
          <w:spacing w:val="0"/>
          <w:sz w:val="32"/>
          <w:szCs w:val="32"/>
          <w:shd w:val="clear" w:color="auto" w:fill="auto"/>
          <w:lang w:eastAsia="zh-CN"/>
        </w:rPr>
        <w:t>增加</w:t>
      </w:r>
      <w:r>
        <w:rPr>
          <w:rStyle w:val="5"/>
          <w:rFonts w:hint="eastAsia" w:ascii="宋体" w:hAnsi="宋体" w:eastAsia="宋体" w:cs="宋体"/>
          <w:i w:val="0"/>
          <w:iCs w:val="0"/>
          <w:caps w:val="0"/>
          <w:color w:val="333333"/>
          <w:spacing w:val="0"/>
          <w:sz w:val="32"/>
          <w:szCs w:val="32"/>
          <w:shd w:val="clear" w:color="auto" w:fill="auto"/>
        </w:rPr>
        <w:t>。</w:t>
      </w:r>
    </w:p>
    <w:p>
      <w:pPr>
        <w:pStyle w:val="2"/>
        <w:keepNext w:val="0"/>
        <w:keepLines w:val="0"/>
        <w:widowControl/>
        <w:suppressLineNumbers w:val="0"/>
        <w:shd w:val="clear" w:fill="FFFFFF" w:themeFill="background1"/>
        <w:spacing w:line="315" w:lineRule="atLeast"/>
        <w:ind w:left="0" w:firstLine="420"/>
        <w:jc w:val="left"/>
        <w:rPr>
          <w:rFonts w:hint="eastAsia" w:ascii="黑体" w:hAnsi="黑体" w:eastAsia="黑体" w:cs="黑体"/>
          <w:b/>
          <w:bCs w:val="0"/>
          <w:kern w:val="0"/>
          <w:sz w:val="32"/>
          <w:szCs w:val="32"/>
          <w:lang w:val="en-US" w:eastAsia="zh-CN" w:bidi="ar-SA"/>
        </w:rPr>
      </w:pPr>
      <w:r>
        <w:rPr>
          <w:rFonts w:hint="eastAsia" w:ascii="黑体" w:hAnsi="黑体" w:eastAsia="黑体" w:cs="黑体"/>
          <w:b/>
          <w:bCs w:val="0"/>
          <w:kern w:val="0"/>
          <w:sz w:val="32"/>
          <w:szCs w:val="32"/>
          <w:lang w:val="en-US" w:eastAsia="zh-CN" w:bidi="ar-SA"/>
        </w:rPr>
        <w:t>三、机关运行费安排情况</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202</w:t>
      </w:r>
      <w:r>
        <w:rPr>
          <w:rStyle w:val="5"/>
          <w:rFonts w:hint="eastAsia" w:ascii="宋体" w:hAnsi="宋体" w:eastAsia="宋体" w:cs="宋体"/>
          <w:i w:val="0"/>
          <w:iCs w:val="0"/>
          <w:caps w:val="0"/>
          <w:color w:val="333333"/>
          <w:spacing w:val="0"/>
          <w:sz w:val="32"/>
          <w:szCs w:val="32"/>
          <w:shd w:val="clear" w:color="auto" w:fill="auto"/>
          <w:lang w:val="en-US" w:eastAsia="zh-CN"/>
        </w:rPr>
        <w:t>2</w:t>
      </w:r>
      <w:r>
        <w:rPr>
          <w:rStyle w:val="5"/>
          <w:rFonts w:hint="eastAsia" w:ascii="宋体" w:hAnsi="宋体" w:eastAsia="宋体" w:cs="宋体"/>
          <w:i w:val="0"/>
          <w:iCs w:val="0"/>
          <w:caps w:val="0"/>
          <w:color w:val="333333"/>
          <w:spacing w:val="0"/>
          <w:sz w:val="32"/>
          <w:szCs w:val="32"/>
          <w:shd w:val="clear" w:color="auto" w:fill="auto"/>
        </w:rPr>
        <w:t>年机关运行经费</w:t>
      </w:r>
      <w:r>
        <w:rPr>
          <w:rStyle w:val="5"/>
          <w:rFonts w:hint="eastAsia" w:ascii="宋体" w:hAnsi="宋体" w:eastAsia="宋体" w:cs="宋体"/>
          <w:i w:val="0"/>
          <w:iCs w:val="0"/>
          <w:caps w:val="0"/>
          <w:color w:val="333333"/>
          <w:spacing w:val="0"/>
          <w:sz w:val="32"/>
          <w:szCs w:val="32"/>
          <w:shd w:val="clear" w:color="auto" w:fill="auto"/>
          <w:lang w:val="en-US" w:eastAsia="zh-CN"/>
        </w:rPr>
        <w:t>10.54</w:t>
      </w:r>
      <w:r>
        <w:rPr>
          <w:rStyle w:val="5"/>
          <w:rFonts w:hint="eastAsia" w:ascii="宋体" w:hAnsi="宋体" w:eastAsia="宋体" w:cs="宋体"/>
          <w:i w:val="0"/>
          <w:iCs w:val="0"/>
          <w:caps w:val="0"/>
          <w:color w:val="333333"/>
          <w:spacing w:val="0"/>
          <w:sz w:val="32"/>
          <w:szCs w:val="32"/>
          <w:shd w:val="clear" w:color="auto" w:fill="auto"/>
        </w:rPr>
        <w:t>万元。</w:t>
      </w:r>
    </w:p>
    <w:p>
      <w:pPr>
        <w:pStyle w:val="2"/>
        <w:keepNext w:val="0"/>
        <w:keepLines w:val="0"/>
        <w:widowControl/>
        <w:suppressLineNumbers w:val="0"/>
        <w:shd w:val="clear" w:fill="FFFFFF" w:themeFill="background1"/>
        <w:spacing w:line="315" w:lineRule="atLeast"/>
        <w:ind w:left="0" w:firstLine="420"/>
        <w:jc w:val="left"/>
        <w:rPr>
          <w:rFonts w:hint="eastAsia" w:ascii="黑体" w:hAnsi="黑体" w:eastAsia="黑体" w:cs="黑体"/>
          <w:b/>
          <w:bCs w:val="0"/>
          <w:kern w:val="0"/>
          <w:sz w:val="32"/>
          <w:szCs w:val="32"/>
          <w:lang w:val="en-US" w:eastAsia="zh-CN" w:bidi="ar-SA"/>
        </w:rPr>
      </w:pPr>
      <w:r>
        <w:rPr>
          <w:rFonts w:hint="eastAsia" w:ascii="黑体" w:hAnsi="黑体" w:eastAsia="黑体" w:cs="黑体"/>
          <w:b/>
          <w:bCs w:val="0"/>
          <w:kern w:val="0"/>
          <w:sz w:val="32"/>
          <w:szCs w:val="32"/>
          <w:lang w:val="en-US" w:eastAsia="zh-CN" w:bidi="ar-SA"/>
        </w:rPr>
        <w:t>四、政府采购安排情况</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本年度无政府采购安排。</w:t>
      </w:r>
    </w:p>
    <w:p>
      <w:pPr>
        <w:pStyle w:val="2"/>
        <w:keepNext w:val="0"/>
        <w:keepLines w:val="0"/>
        <w:widowControl/>
        <w:suppressLineNumbers w:val="0"/>
        <w:shd w:val="clear" w:fill="FFFFFF" w:themeFill="background1"/>
        <w:spacing w:line="315" w:lineRule="atLeast"/>
        <w:ind w:left="0" w:firstLine="420"/>
        <w:jc w:val="left"/>
        <w:rPr>
          <w:rFonts w:hint="eastAsia" w:ascii="黑体" w:hAnsi="黑体" w:eastAsia="黑体" w:cs="黑体"/>
          <w:b/>
          <w:bCs w:val="0"/>
          <w:kern w:val="0"/>
          <w:sz w:val="32"/>
          <w:szCs w:val="32"/>
          <w:lang w:val="en-US" w:eastAsia="zh-CN" w:bidi="ar-SA"/>
        </w:rPr>
      </w:pPr>
      <w:r>
        <w:rPr>
          <w:rFonts w:hint="eastAsia" w:ascii="黑体" w:hAnsi="黑体" w:eastAsia="黑体" w:cs="黑体"/>
          <w:b/>
          <w:bCs w:val="0"/>
          <w:kern w:val="0"/>
          <w:sz w:val="32"/>
          <w:szCs w:val="32"/>
          <w:lang w:val="en-US" w:eastAsia="zh-CN" w:bidi="ar-SA"/>
        </w:rPr>
        <w:t>五、“三公”经费增减变化原因等情况说明</w:t>
      </w:r>
    </w:p>
    <w:p>
      <w:pPr>
        <w:widowControl/>
        <w:spacing w:before="0" w:beforeAutospacing="0" w:after="0" w:afterAutospacing="0"/>
        <w:ind w:firstLine="640" w:firstLineChars="200"/>
        <w:jc w:val="left"/>
        <w:rPr>
          <w:rFonts w:hint="eastAsia" w:ascii="仿宋" w:hAnsi="仿宋" w:eastAsia="仿宋" w:cs="宋体"/>
          <w:b/>
          <w:kern w:val="0"/>
          <w:sz w:val="32"/>
          <w:szCs w:val="32"/>
          <w:lang w:val="en-US" w:eastAsia="zh-CN" w:bidi="ar-SA"/>
        </w:rPr>
      </w:pPr>
      <w:r>
        <w:rPr>
          <w:rFonts w:hint="eastAsia" w:ascii="仿宋_GB2312" w:hAnsi="仿宋_GB2312" w:eastAsia="仿宋_GB2312" w:cs="仿宋_GB2312"/>
          <w:kern w:val="0"/>
          <w:sz w:val="32"/>
          <w:szCs w:val="32"/>
          <w:lang w:val="en-US" w:eastAsia="zh-CN" w:bidi="ar-SA"/>
        </w:rPr>
        <w:t>2022年中共康平县委机构编制委员会办公室（本级）“三公”经费预算数为0，与2021年一致。</w:t>
      </w:r>
    </w:p>
    <w:p>
      <w:pPr>
        <w:pStyle w:val="2"/>
        <w:keepNext w:val="0"/>
        <w:keepLines w:val="0"/>
        <w:widowControl/>
        <w:suppressLineNumbers w:val="0"/>
        <w:shd w:val="clear" w:fill="FFFFFF" w:themeFill="background1"/>
        <w:spacing w:line="315" w:lineRule="atLeast"/>
        <w:ind w:left="0" w:firstLine="420"/>
        <w:jc w:val="left"/>
        <w:rPr>
          <w:rFonts w:hint="eastAsia" w:ascii="黑体" w:hAnsi="黑体" w:eastAsia="黑体" w:cs="黑体"/>
          <w:b/>
          <w:bCs w:val="0"/>
          <w:kern w:val="0"/>
          <w:sz w:val="32"/>
          <w:szCs w:val="32"/>
          <w:lang w:val="en-US" w:eastAsia="zh-CN" w:bidi="ar-SA"/>
        </w:rPr>
      </w:pPr>
      <w:r>
        <w:rPr>
          <w:rFonts w:hint="eastAsia" w:ascii="黑体" w:hAnsi="黑体" w:eastAsia="黑体" w:cs="黑体"/>
          <w:b/>
          <w:bCs w:val="0"/>
          <w:kern w:val="0"/>
          <w:sz w:val="32"/>
          <w:szCs w:val="32"/>
          <w:lang w:val="en-US" w:eastAsia="zh-CN" w:bidi="ar-SA"/>
        </w:rPr>
        <w:t>六、预算绩效情况</w:t>
      </w:r>
      <w:bookmarkStart w:id="0" w:name="_GoBack"/>
      <w:bookmarkEnd w:id="0"/>
    </w:p>
    <w:p>
      <w:pPr>
        <w:pStyle w:val="2"/>
        <w:keepNext w:val="0"/>
        <w:keepLines w:val="0"/>
        <w:widowControl/>
        <w:suppressLineNumbers w:val="0"/>
        <w:shd w:val="clear" w:fill="FFFFFF" w:themeFill="background1"/>
        <w:spacing w:line="315" w:lineRule="atLeast"/>
        <w:ind w:left="0" w:firstLine="420"/>
        <w:jc w:val="left"/>
        <w:rPr>
          <w:rFonts w:hint="eastAsia" w:ascii="黑体" w:hAnsi="黑体" w:eastAsia="黑体" w:cs="黑体"/>
          <w:b/>
          <w:bCs w:val="0"/>
          <w:kern w:val="0"/>
          <w:sz w:val="32"/>
          <w:szCs w:val="32"/>
          <w:lang w:val="en-US" w:eastAsia="zh-CN" w:bidi="ar-SA"/>
        </w:rPr>
      </w:pPr>
      <w:r>
        <w:rPr>
          <w:rStyle w:val="5"/>
          <w:rFonts w:hint="eastAsia" w:ascii="宋体" w:hAnsi="宋体" w:eastAsia="宋体" w:cs="宋体"/>
          <w:i w:val="0"/>
          <w:iCs w:val="0"/>
          <w:caps w:val="0"/>
          <w:color w:val="333333"/>
          <w:spacing w:val="0"/>
          <w:sz w:val="32"/>
          <w:szCs w:val="32"/>
          <w:shd w:val="clear" w:color="auto" w:fill="auto"/>
        </w:rPr>
        <w:t>本单位本年不涉及民生项目和重点支出项目，故无绩效评价情</w:t>
      </w:r>
      <w:r>
        <w:rPr>
          <w:rStyle w:val="5"/>
          <w:rFonts w:hint="eastAsia" w:ascii="宋体" w:hAnsi="宋体" w:eastAsia="宋体" w:cs="宋体"/>
          <w:i w:val="0"/>
          <w:iCs w:val="0"/>
          <w:caps w:val="0"/>
          <w:color w:val="333333"/>
          <w:spacing w:val="0"/>
          <w:sz w:val="32"/>
          <w:szCs w:val="32"/>
          <w:shd w:val="clear" w:color="auto" w:fill="auto"/>
          <w:lang w:val="en-US" w:eastAsia="zh-CN"/>
        </w:rPr>
        <w:t>况公开</w:t>
      </w:r>
      <w:r>
        <w:rPr>
          <w:rFonts w:hint="eastAsia" w:ascii="黑体" w:hAnsi="黑体" w:eastAsia="黑体" w:cs="黑体"/>
          <w:b/>
          <w:bCs w:val="0"/>
          <w:kern w:val="0"/>
          <w:sz w:val="32"/>
          <w:szCs w:val="32"/>
          <w:lang w:val="en-US" w:eastAsia="zh-CN" w:bidi="ar-SA"/>
        </w:rPr>
        <w:t>。</w:t>
      </w:r>
    </w:p>
    <w:p>
      <w:pPr>
        <w:widowControl/>
        <w:spacing w:before="0" w:beforeAutospacing="0" w:after="0" w:afterAutospacing="0"/>
        <w:ind w:firstLine="642" w:firstLineChars="200"/>
        <w:jc w:val="left"/>
        <w:rPr>
          <w:rFonts w:hint="eastAsia" w:ascii="黑体" w:hAnsi="黑体" w:eastAsia="黑体" w:cs="黑体"/>
          <w:b/>
          <w:bCs w:val="0"/>
          <w:kern w:val="0"/>
          <w:sz w:val="32"/>
          <w:szCs w:val="32"/>
          <w:highlight w:val="none"/>
          <w:lang w:val="en-US" w:eastAsia="zh-CN" w:bidi="ar-SA"/>
        </w:rPr>
      </w:pPr>
      <w:r>
        <w:rPr>
          <w:rFonts w:hint="eastAsia" w:ascii="黑体" w:hAnsi="黑体" w:eastAsia="黑体" w:cs="黑体"/>
          <w:b/>
          <w:bCs w:val="0"/>
          <w:kern w:val="0"/>
          <w:sz w:val="32"/>
          <w:szCs w:val="32"/>
          <w:highlight w:val="none"/>
          <w:lang w:val="en-US" w:eastAsia="zh-CN" w:bidi="ar-SA"/>
        </w:rPr>
        <w:t>七、2022年一般公共预算支出情况表的说明</w:t>
      </w:r>
    </w:p>
    <w:p>
      <w:pPr>
        <w:ind w:firstLine="640"/>
        <w:rPr>
          <w:rFonts w:hint="eastAsia" w:ascii="黑体" w:hAnsi="黑体" w:eastAsia="黑体" w:cs="黑体"/>
          <w:b/>
          <w:bCs w:val="0"/>
          <w:kern w:val="0"/>
          <w:sz w:val="32"/>
          <w:szCs w:val="32"/>
          <w:lang w:val="en-US" w:eastAsia="zh-CN" w:bidi="ar-SA"/>
        </w:rPr>
      </w:pPr>
      <w:r>
        <w:rPr>
          <w:rStyle w:val="5"/>
          <w:rFonts w:hint="eastAsia" w:ascii="宋体" w:hAnsi="宋体" w:eastAsia="宋体" w:cs="宋体"/>
          <w:i w:val="0"/>
          <w:iCs w:val="0"/>
          <w:caps w:val="0"/>
          <w:color w:val="333333"/>
          <w:spacing w:val="0"/>
          <w:kern w:val="0"/>
          <w:sz w:val="32"/>
          <w:szCs w:val="32"/>
          <w:shd w:val="clear" w:color="auto" w:fill="auto"/>
          <w:lang w:val="en-US" w:eastAsia="zh-CN" w:bidi="ar"/>
        </w:rPr>
        <w:t>2022年中共康平县委机构编制委员会办公室一般公共预算支出合计93.08万元。其中，人员经费89.54万元；公用经费3.54万元。</w:t>
      </w:r>
    </w:p>
    <w:p>
      <w:pPr>
        <w:pStyle w:val="2"/>
        <w:keepNext w:val="0"/>
        <w:keepLines w:val="0"/>
        <w:widowControl/>
        <w:suppressLineNumbers w:val="0"/>
        <w:shd w:val="clear" w:fill="FFFFFF" w:themeFill="background1"/>
        <w:spacing w:line="315" w:lineRule="atLeast"/>
        <w:ind w:left="0" w:firstLine="420"/>
        <w:jc w:val="left"/>
        <w:rPr>
          <w:rFonts w:hint="eastAsia" w:ascii="黑体" w:hAnsi="黑体" w:eastAsia="黑体" w:cs="黑体"/>
          <w:b/>
          <w:bCs w:val="0"/>
          <w:kern w:val="0"/>
          <w:sz w:val="32"/>
          <w:szCs w:val="32"/>
          <w:lang w:val="en-US" w:eastAsia="zh-CN" w:bidi="ar-SA"/>
        </w:rPr>
      </w:pPr>
      <w:r>
        <w:rPr>
          <w:rFonts w:hint="eastAsia" w:ascii="黑体" w:hAnsi="黑体" w:eastAsia="黑体" w:cs="黑体"/>
          <w:b/>
          <w:bCs w:val="0"/>
          <w:kern w:val="0"/>
          <w:sz w:val="32"/>
          <w:szCs w:val="32"/>
          <w:lang w:val="en-US" w:eastAsia="zh-CN" w:bidi="ar-SA"/>
        </w:rPr>
        <w:t>八、国有资产占用使用情况</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lang w:eastAsia="zh-CN"/>
        </w:rPr>
        <w:t>本单位</w:t>
      </w:r>
      <w:r>
        <w:rPr>
          <w:rStyle w:val="5"/>
          <w:rFonts w:hint="eastAsia" w:ascii="宋体" w:hAnsi="宋体" w:eastAsia="宋体" w:cs="宋体"/>
          <w:i w:val="0"/>
          <w:iCs w:val="0"/>
          <w:caps w:val="0"/>
          <w:color w:val="333333"/>
          <w:spacing w:val="0"/>
          <w:sz w:val="32"/>
          <w:szCs w:val="32"/>
          <w:shd w:val="clear" w:color="auto" w:fill="auto"/>
        </w:rPr>
        <w:t>没有国有资产占用使用情况。</w:t>
      </w:r>
    </w:p>
    <w:p>
      <w:pPr>
        <w:pStyle w:val="2"/>
        <w:keepNext w:val="0"/>
        <w:keepLines w:val="0"/>
        <w:widowControl/>
        <w:suppressLineNumbers w:val="0"/>
        <w:shd w:val="clear" w:fill="FFFFFF" w:themeFill="background1"/>
        <w:spacing w:line="315" w:lineRule="atLeast"/>
        <w:ind w:left="0" w:firstLine="420"/>
        <w:jc w:val="left"/>
        <w:rPr>
          <w:rFonts w:hint="eastAsia" w:ascii="黑体" w:hAnsi="黑体" w:eastAsia="黑体" w:cs="黑体"/>
          <w:b/>
          <w:bCs w:val="0"/>
          <w:kern w:val="0"/>
          <w:sz w:val="32"/>
          <w:szCs w:val="32"/>
          <w:lang w:val="en-US" w:eastAsia="zh-CN" w:bidi="ar-SA"/>
        </w:rPr>
      </w:pPr>
      <w:r>
        <w:rPr>
          <w:rFonts w:hint="eastAsia" w:ascii="黑体" w:hAnsi="黑体" w:eastAsia="黑体" w:cs="黑体"/>
          <w:b/>
          <w:bCs w:val="0"/>
          <w:kern w:val="0"/>
          <w:sz w:val="32"/>
          <w:szCs w:val="32"/>
          <w:lang w:val="en-US" w:eastAsia="zh-CN" w:bidi="ar-SA"/>
        </w:rPr>
        <w:t>九、名词解释</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1.财政拨款收入：指市级财政当年拨付的资金。</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2.上级补助收入：指事业单位从主管部门和上级单位取得的非财政补助收入。</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3.附属单位上缴收入：指已纳入部门预算管理的独立核算的附属单位按照有关规定上缴的收入。</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auto"/>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4</w:t>
      </w:r>
      <w:r>
        <w:rPr>
          <w:rStyle w:val="5"/>
          <w:rFonts w:hint="eastAsia" w:ascii="宋体" w:hAnsi="宋体" w:eastAsia="宋体" w:cs="宋体"/>
          <w:i w:val="0"/>
          <w:iCs w:val="0"/>
          <w:caps w:val="0"/>
          <w:color w:val="auto"/>
          <w:spacing w:val="0"/>
          <w:sz w:val="32"/>
          <w:szCs w:val="32"/>
          <w:shd w:val="clear" w:color="auto" w:fill="auto"/>
        </w:rPr>
        <w:t>. 其他收入：指除上述“财政拨款收入”、“纳入专户管理的预算外资金拨款”、“上级补助、附属单位上缴收入”以外的收入。</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auto"/>
          <w:spacing w:val="0"/>
          <w:sz w:val="32"/>
          <w:szCs w:val="32"/>
          <w:shd w:val="clear" w:color="auto" w:fill="auto"/>
        </w:rPr>
      </w:pPr>
      <w:r>
        <w:rPr>
          <w:rStyle w:val="5"/>
          <w:rFonts w:hint="eastAsia" w:ascii="宋体" w:hAnsi="宋体" w:eastAsia="宋体" w:cs="宋体"/>
          <w:i w:val="0"/>
          <w:iCs w:val="0"/>
          <w:caps w:val="0"/>
          <w:color w:val="auto"/>
          <w:spacing w:val="0"/>
          <w:sz w:val="32"/>
          <w:szCs w:val="32"/>
          <w:shd w:val="clear" w:color="auto" w:fill="auto"/>
        </w:rPr>
        <w:t>5.一般公共服务（类）财政事务（款）行政运行（项）：反映行政单位（包括实行公务员管理的事业单位）的基本支出。</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auto"/>
          <w:spacing w:val="0"/>
          <w:sz w:val="32"/>
          <w:szCs w:val="32"/>
          <w:shd w:val="clear" w:color="auto" w:fill="auto"/>
        </w:rPr>
      </w:pPr>
      <w:r>
        <w:rPr>
          <w:rStyle w:val="5"/>
          <w:rFonts w:hint="eastAsia" w:ascii="宋体" w:hAnsi="宋体" w:eastAsia="宋体" w:cs="宋体"/>
          <w:i w:val="0"/>
          <w:iCs w:val="0"/>
          <w:caps w:val="0"/>
          <w:color w:val="auto"/>
          <w:spacing w:val="0"/>
          <w:sz w:val="32"/>
          <w:szCs w:val="32"/>
          <w:shd w:val="clear" w:color="auto" w:fill="auto"/>
        </w:rPr>
        <w:t>6.一般公共服务（类）财政事务（款）一般行政管理事务（项）：反映行政单位（包括实行公务员管理的事业单位）未单独设置项级科目的其他项目支出。</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auto"/>
          <w:spacing w:val="0"/>
          <w:sz w:val="32"/>
          <w:szCs w:val="32"/>
          <w:shd w:val="clear" w:color="auto" w:fill="auto"/>
        </w:rPr>
      </w:pPr>
      <w:r>
        <w:rPr>
          <w:rStyle w:val="5"/>
          <w:rFonts w:hint="eastAsia" w:ascii="宋体" w:hAnsi="宋体" w:eastAsia="宋体" w:cs="宋体"/>
          <w:i w:val="0"/>
          <w:iCs w:val="0"/>
          <w:caps w:val="0"/>
          <w:color w:val="auto"/>
          <w:spacing w:val="0"/>
          <w:sz w:val="32"/>
          <w:szCs w:val="32"/>
          <w:shd w:val="clear" w:color="auto" w:fill="auto"/>
        </w:rPr>
        <w:t>7.一般公共服务（类）财政事务（款）预算改革业务（项）：反映财政部门用于预算改革方面的支出。</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auto"/>
          <w:spacing w:val="0"/>
          <w:sz w:val="32"/>
          <w:szCs w:val="32"/>
          <w:shd w:val="clear" w:color="auto" w:fill="auto"/>
        </w:rPr>
      </w:pPr>
      <w:r>
        <w:rPr>
          <w:rStyle w:val="5"/>
          <w:rFonts w:hint="eastAsia" w:ascii="宋体" w:hAnsi="宋体" w:eastAsia="宋体" w:cs="宋体"/>
          <w:i w:val="0"/>
          <w:iCs w:val="0"/>
          <w:caps w:val="0"/>
          <w:color w:val="auto"/>
          <w:spacing w:val="0"/>
          <w:sz w:val="32"/>
          <w:szCs w:val="32"/>
          <w:shd w:val="clear" w:color="auto" w:fill="auto"/>
        </w:rPr>
        <w:t>8.一般公共服务（类）财政事务（款）财政国库业务（项）：反映财政部门用于财政国库集中收付业务方面的支出。</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auto"/>
          <w:spacing w:val="0"/>
          <w:sz w:val="32"/>
          <w:szCs w:val="32"/>
          <w:shd w:val="clear" w:color="auto" w:fill="auto"/>
        </w:rPr>
        <w:t>9.一般公共服务（类）财政事务（款）事业运行（项）：反映事业单位的基本支出，不包括行政单位（包括实行公务员管理的事业单位）后勤服务中心、</w:t>
      </w:r>
      <w:r>
        <w:rPr>
          <w:rStyle w:val="5"/>
          <w:rFonts w:hint="eastAsia" w:ascii="宋体" w:hAnsi="宋体" w:eastAsia="宋体" w:cs="宋体"/>
          <w:i w:val="0"/>
          <w:iCs w:val="0"/>
          <w:caps w:val="0"/>
          <w:color w:val="333333"/>
          <w:spacing w:val="0"/>
          <w:sz w:val="32"/>
          <w:szCs w:val="32"/>
          <w:shd w:val="clear" w:color="auto" w:fill="auto"/>
        </w:rPr>
        <w:t>医务室等附属事业单位。</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10.一般公共服务（类）财政事务（款）其他财政事务支出（项）：反映除上述项目以外其他财政事务方面的支出。</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11.社会保障和就业（类）行政事业单位离退休（款）归口管理的行政单位离退休（项）：反映实行归口管理的行政单位（包括实行公务员管理的事业单位）开支的离退休经费。</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12.社会保障和就业（类）行政事业单位离退休（款）事业单位离退休（项）：反映实行归口管理的事业单位开支的离退休经费。</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15.住房保障（类）住房改革（款）住房公积金（项）：反映行政事业单位按人力资源和社会保障部、财政部规定的基本工资和津贴补贴以及规定比例为职工缴纳的住房公积金。</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16. 基本支出：指保障机构正常运转、完成日常工作任务而发生的人员支出和公用支出。</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17. 项目支出：指在基本支出之外为完成特定行政任务和事业发展目标所发生的支出。</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pStyle w:val="2"/>
        <w:keepNext w:val="0"/>
        <w:keepLines w:val="0"/>
        <w:widowControl/>
        <w:suppressLineNumbers w:val="0"/>
        <w:shd w:val="clear" w:fill="FFFFFF" w:themeFill="background1"/>
        <w:spacing w:line="315" w:lineRule="atLeast"/>
        <w:ind w:left="0" w:firstLine="420"/>
        <w:jc w:val="left"/>
        <w:rPr>
          <w:rFonts w:hint="eastAsia" w:ascii="宋体" w:hAnsi="宋体" w:eastAsia="宋体" w:cs="宋体"/>
          <w:i w:val="0"/>
          <w:iCs w:val="0"/>
          <w:caps w:val="0"/>
          <w:color w:val="333333"/>
          <w:spacing w:val="0"/>
          <w:sz w:val="32"/>
          <w:szCs w:val="32"/>
          <w:shd w:val="clear" w:color="auto" w:fill="auto"/>
        </w:rPr>
      </w:pPr>
      <w:r>
        <w:rPr>
          <w:rStyle w:val="5"/>
          <w:rFonts w:hint="eastAsia" w:ascii="宋体" w:hAnsi="宋体" w:eastAsia="宋体" w:cs="宋体"/>
          <w:i w:val="0"/>
          <w:iCs w:val="0"/>
          <w:caps w:val="0"/>
          <w:color w:val="333333"/>
          <w:spacing w:val="0"/>
          <w:sz w:val="32"/>
          <w:szCs w:val="32"/>
          <w:shd w:val="clear" w:color="auto" w:fill="auto"/>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2"/>
        <w:keepNext w:val="0"/>
        <w:keepLines w:val="0"/>
        <w:widowControl/>
        <w:suppressLineNumbers w:val="0"/>
        <w:shd w:val="clear" w:fill="FFFFFF" w:themeFill="background1"/>
        <w:spacing w:line="315" w:lineRule="atLeast"/>
        <w:ind w:left="0" w:firstLine="0"/>
        <w:rPr>
          <w:rFonts w:hint="eastAsia" w:ascii="宋体" w:hAnsi="宋体" w:eastAsia="宋体" w:cs="宋体"/>
          <w:i w:val="0"/>
          <w:iCs w:val="0"/>
          <w:caps w:val="0"/>
          <w:color w:val="333333"/>
          <w:spacing w:val="0"/>
          <w:sz w:val="32"/>
          <w:szCs w:val="32"/>
          <w:shd w:val="clear" w:color="auto" w:fill="auto"/>
        </w:rPr>
      </w:pPr>
      <w:r>
        <w:rPr>
          <w:rFonts w:hint="eastAsia" w:ascii="宋体" w:hAnsi="宋体" w:eastAsia="宋体" w:cs="宋体"/>
          <w:i w:val="0"/>
          <w:iCs w:val="0"/>
          <w:caps w:val="0"/>
          <w:color w:val="333333"/>
          <w:spacing w:val="0"/>
          <w:sz w:val="32"/>
          <w:szCs w:val="32"/>
          <w:shd w:val="clear" w:color="auto" w:fill="auto"/>
        </w:rPr>
        <w:t> </w:t>
      </w:r>
    </w:p>
    <w:p>
      <w:pPr>
        <w:rPr>
          <w:rStyle w:val="5"/>
          <w:rFonts w:hint="eastAsia" w:ascii="微软雅黑" w:hAnsi="微软雅黑" w:eastAsia="微软雅黑" w:cs="微软雅黑"/>
          <w:i w:val="0"/>
          <w:iCs w:val="0"/>
          <w:caps w:val="0"/>
          <w:color w:val="333333"/>
          <w:spacing w:val="0"/>
          <w:sz w:val="32"/>
          <w:szCs w:val="32"/>
          <w:shd w:val="clear" w:color="auto" w:fill="auto"/>
          <w:lang w:val="en-US" w:eastAsia="zh-CN"/>
        </w:rPr>
      </w:pPr>
    </w:p>
    <w:sectPr>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文泉驿微米黑">
    <w:panose1 w:val="020B0606030804020204"/>
    <w:charset w:val="86"/>
    <w:family w:val="auto"/>
    <w:pitch w:val="default"/>
    <w:sig w:usb0="E10002EF" w:usb1="6BDFFCFB" w:usb2="00800036" w:usb3="00000000" w:csb0="603E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lNzU1ZTVmN2IwZDBiYTU3MDUwMTAyZmJhMjY4Y2UifQ=="/>
  </w:docVars>
  <w:rsids>
    <w:rsidRoot w:val="72A955EB"/>
    <w:rsid w:val="10166EAE"/>
    <w:rsid w:val="353338DC"/>
    <w:rsid w:val="372A2E0A"/>
    <w:rsid w:val="4AEC354E"/>
    <w:rsid w:val="4FBE36DE"/>
    <w:rsid w:val="54FE4B10"/>
    <w:rsid w:val="72A955EB"/>
    <w:rsid w:val="74F838D8"/>
    <w:rsid w:val="78D34C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Emphasis"/>
    <w:basedOn w:val="4"/>
    <w:qFormat/>
    <w:uiPriority w:val="0"/>
    <w:rPr>
      <w:i/>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2744</Words>
  <Characters>2853</Characters>
  <Lines>0</Lines>
  <Paragraphs>0</Paragraphs>
  <TotalTime>0</TotalTime>
  <ScaleCrop>false</ScaleCrop>
  <LinksUpToDate>false</LinksUpToDate>
  <CharactersWithSpaces>2865</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2022-01-06T09:32:00Z</dcterms:created>
  <dc:creator>Administrator</dc:creator>
  <cp:lastModifiedBy>user</cp:lastModifiedBy>
  <dcterms:modified xsi:type="dcterms:W3CDTF">2025-09-02T15:08:28Z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EEE7016F56984CB3B2B1F055C32ACDA1</vt:lpwstr>
  </property>
</Properties>
</file>