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b/>
          <w:sz w:val="44"/>
          <w:szCs w:val="44"/>
        </w:rPr>
      </w:pPr>
      <w:r>
        <w:rPr>
          <w:rFonts w:hint="eastAsia"/>
          <w:b/>
          <w:sz w:val="44"/>
          <w:szCs w:val="44"/>
        </w:rPr>
        <w:t>康平县产业转型升级促进中心</w:t>
      </w:r>
    </w:p>
    <w:p>
      <w:pPr>
        <w:jc w:val="center"/>
        <w:rPr>
          <w:rFonts w:hint="eastAsia"/>
          <w:b/>
          <w:sz w:val="44"/>
          <w:szCs w:val="44"/>
        </w:rPr>
      </w:pPr>
      <w:r>
        <w:rPr>
          <w:rFonts w:hint="eastAsia"/>
          <w:b/>
          <w:sz w:val="44"/>
          <w:szCs w:val="44"/>
        </w:rPr>
        <w:t>202</w:t>
      </w:r>
      <w:r>
        <w:rPr>
          <w:rFonts w:hint="eastAsia"/>
          <w:b/>
          <w:sz w:val="44"/>
          <w:szCs w:val="44"/>
          <w:lang w:val="en-US" w:eastAsia="zh-CN"/>
        </w:rPr>
        <w:t>2</w:t>
      </w:r>
      <w:r>
        <w:rPr>
          <w:rFonts w:hint="eastAsia"/>
          <w:b/>
          <w:sz w:val="44"/>
          <w:szCs w:val="44"/>
        </w:rPr>
        <w:t>年预算公开说明</w:t>
      </w: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ind w:firstLine="3092" w:firstLineChars="700"/>
        <w:jc w:val="both"/>
        <w:rPr>
          <w:rFonts w:hint="eastAsia"/>
          <w:b/>
          <w:sz w:val="44"/>
          <w:szCs w:val="44"/>
        </w:rPr>
      </w:pPr>
      <w:r>
        <w:rPr>
          <w:rFonts w:hint="eastAsia"/>
          <w:b/>
          <w:sz w:val="44"/>
          <w:szCs w:val="44"/>
        </w:rPr>
        <w:t>目    录</w:t>
      </w:r>
    </w:p>
    <w:p>
      <w:pPr>
        <w:jc w:val="center"/>
        <w:rPr>
          <w:rFonts w:hint="eastAsia"/>
          <w:b/>
          <w:sz w:val="44"/>
          <w:szCs w:val="44"/>
        </w:rPr>
      </w:pPr>
    </w:p>
    <w:p>
      <w:pPr>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康平县产业转型升级促进中心</w:t>
      </w:r>
      <w:r>
        <w:rPr>
          <w:rFonts w:hint="eastAsia" w:ascii="黑体" w:hAnsi="黑体" w:eastAsia="黑体"/>
          <w:sz w:val="32"/>
          <w:szCs w:val="32"/>
        </w:rPr>
        <w:t>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康平县产业转型升级促进中心</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表1.收支预算总表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表2.收入预算总表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表3.支出预算总表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表4.财政拨款收支预算总表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表5.一般公共预算支出表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表6.一般公共预算基本支出表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表7.一般公共预算“三公”经费支出表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表8.政府性基金预算支出表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表9.项目支出预算表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表10.支出功能分类预算表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表11.支出经济分类预算表（政府预算）</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表12.支出经济分类预算表（部门预算）</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表13.债务支出预算表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表14.政府采购支出预算表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表15.政府购买服务支出预算表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表16.部门（单位）整体绩效目标表</w:t>
      </w:r>
    </w:p>
    <w:p>
      <w:pPr>
        <w:rPr>
          <w:rFonts w:hint="eastAsia" w:ascii="仿宋_GB2312" w:hAnsi="黑体" w:eastAsia="仿宋_GB2312"/>
          <w:color w:val="auto"/>
          <w:sz w:val="32"/>
          <w:szCs w:val="32"/>
        </w:rPr>
      </w:pPr>
      <w:r>
        <w:rPr>
          <w:rFonts w:hint="eastAsia" w:ascii="仿宋_GB2312" w:hAnsi="黑体" w:eastAsia="仿宋_GB2312"/>
          <w:color w:val="auto"/>
          <w:sz w:val="32"/>
          <w:szCs w:val="32"/>
        </w:rPr>
        <w:t>表17.部门预算项目（政策）绩效目标表</w:t>
      </w:r>
    </w:p>
    <w:p>
      <w:pPr>
        <w:rPr>
          <w:rFonts w:hint="eastAsia" w:ascii="黑体" w:hAnsi="黑体" w:eastAsia="黑体"/>
          <w:color w:val="auto"/>
          <w:sz w:val="32"/>
          <w:szCs w:val="32"/>
        </w:rPr>
      </w:pPr>
      <w:r>
        <w:rPr>
          <w:rFonts w:hint="eastAsia" w:ascii="黑体" w:hAnsi="黑体" w:eastAsia="黑体"/>
          <w:color w:val="auto"/>
          <w:sz w:val="32"/>
          <w:szCs w:val="32"/>
        </w:rPr>
        <w:t xml:space="preserve">第三部分  </w:t>
      </w:r>
      <w:r>
        <w:rPr>
          <w:rFonts w:hint="eastAsia" w:ascii="黑体" w:hAnsi="黑体" w:eastAsia="黑体"/>
          <w:color w:val="auto"/>
          <w:sz w:val="32"/>
          <w:szCs w:val="32"/>
          <w:lang w:val="en-US" w:eastAsia="zh-CN"/>
        </w:rPr>
        <w:t>康平县</w:t>
      </w:r>
      <w:r>
        <w:rPr>
          <w:rFonts w:hint="eastAsia" w:ascii="黑体" w:hAnsi="黑体" w:eastAsia="黑体"/>
          <w:sz w:val="32"/>
          <w:szCs w:val="32"/>
          <w:lang w:val="en-US" w:eastAsia="zh-CN"/>
        </w:rPr>
        <w:t>产业转型升级促进中心</w:t>
      </w:r>
      <w:r>
        <w:rPr>
          <w:rFonts w:hint="eastAsia" w:ascii="黑体" w:hAnsi="黑体" w:eastAsia="黑体"/>
          <w:color w:val="auto"/>
          <w:sz w:val="32"/>
          <w:szCs w:val="32"/>
        </w:rPr>
        <w:t>202</w:t>
      </w:r>
      <w:r>
        <w:rPr>
          <w:rFonts w:hint="eastAsia" w:ascii="黑体" w:hAnsi="黑体" w:eastAsia="黑体"/>
          <w:color w:val="auto"/>
          <w:sz w:val="32"/>
          <w:szCs w:val="32"/>
          <w:lang w:val="en-US" w:eastAsia="zh-CN"/>
        </w:rPr>
        <w:t>2</w:t>
      </w:r>
      <w:r>
        <w:rPr>
          <w:rFonts w:hint="eastAsia" w:ascii="黑体" w:hAnsi="黑体" w:eastAsia="黑体"/>
          <w:color w:val="auto"/>
          <w:sz w:val="32"/>
          <w:szCs w:val="32"/>
        </w:rPr>
        <w:t>年部门预算情况说明</w:t>
      </w:r>
    </w:p>
    <w:p>
      <w:pPr>
        <w:rPr>
          <w:rFonts w:hint="eastAsia" w:ascii="黑体" w:hAnsi="黑体" w:eastAsia="黑体"/>
          <w:color w:val="auto"/>
          <w:sz w:val="32"/>
          <w:szCs w:val="32"/>
        </w:rPr>
      </w:pPr>
      <w:r>
        <w:rPr>
          <w:rFonts w:hint="eastAsia" w:ascii="黑体" w:hAnsi="黑体" w:eastAsia="黑体"/>
          <w:color w:val="auto"/>
          <w:sz w:val="32"/>
          <w:szCs w:val="32"/>
        </w:rPr>
        <w:t>第四部分  名词解释</w:t>
      </w: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rPr>
          <w:rFonts w:hint="eastAsia" w:ascii="黑体" w:hAnsi="黑体" w:eastAsia="黑体"/>
          <w:color w:val="auto"/>
          <w:sz w:val="32"/>
          <w:szCs w:val="32"/>
        </w:rPr>
      </w:pPr>
    </w:p>
    <w:p>
      <w:pPr>
        <w:jc w:val="center"/>
        <w:rPr>
          <w:rFonts w:hint="eastAsia"/>
          <w:b/>
          <w:sz w:val="44"/>
          <w:szCs w:val="44"/>
        </w:rPr>
      </w:pPr>
    </w:p>
    <w:p/>
    <w:p>
      <w:pPr>
        <w:pStyle w:val="9"/>
        <w:numPr>
          <w:ilvl w:val="0"/>
          <w:numId w:val="2"/>
        </w:numPr>
        <w:ind w:firstLine="630" w:firstLineChars="196"/>
        <w:rPr>
          <w:rFonts w:ascii="仿宋" w:hAnsi="仿宋" w:eastAsia="仿宋"/>
          <w:b/>
          <w:sz w:val="32"/>
          <w:szCs w:val="32"/>
        </w:rPr>
      </w:pPr>
      <w:r>
        <w:rPr>
          <w:rFonts w:hint="eastAsia" w:ascii="仿宋" w:hAnsi="仿宋" w:eastAsia="仿宋"/>
          <w:b/>
          <w:sz w:val="32"/>
          <w:szCs w:val="32"/>
        </w:rPr>
        <w:t>部门主要职责及机构设置情况</w:t>
      </w:r>
    </w:p>
    <w:p>
      <w:pPr>
        <w:spacing w:line="360" w:lineRule="auto"/>
        <w:ind w:firstLine="640" w:firstLineChars="200"/>
        <w:rPr>
          <w:rFonts w:ascii="仿宋" w:hAnsi="仿宋" w:eastAsia="仿宋"/>
          <w:b/>
          <w:sz w:val="32"/>
          <w:szCs w:val="32"/>
        </w:rPr>
      </w:pPr>
      <w:r>
        <w:rPr>
          <w:rFonts w:hint="eastAsia" w:ascii="仿宋" w:hAnsi="仿宋" w:eastAsia="仿宋"/>
          <w:bCs/>
          <w:sz w:val="32"/>
          <w:szCs w:val="32"/>
        </w:rPr>
        <w:t>康平县产业转型升级促进中心成立于2018年8月30日，中心主要工作职责为：</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（一）围绕贯彻国家和省、市的产业发展战略及有关政策措施，开展相关公益性工作，促进我县产业转型升级和创新发展，加快构建现代产业体系。</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（二）参与制定县政府产业发展政策和鼓励措施，开展调研论证，提出建议和方案，进行政策执行效果评估及有关产业发展重大专项课题研究服务等工作。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（三)策划、协调和组织开展我县对外经济合作、学术交流以及经济发展主题论坛和展会等大型活动。</w:t>
      </w:r>
    </w:p>
    <w:p>
      <w:pPr>
        <w:spacing w:line="360" w:lineRule="auto"/>
        <w:ind w:left="638" w:leftChars="304"/>
        <w:rPr>
          <w:rFonts w:ascii="仿宋" w:hAnsi="仿宋" w:eastAsia="仿宋" w:cs="仿宋"/>
          <w:sz w:val="32"/>
          <w:szCs w:val="32"/>
        </w:rPr>
      </w:pPr>
      <w:r>
        <w:rPr>
          <w:rFonts w:hint="eastAsia" w:ascii="仿宋" w:hAnsi="仿宋" w:eastAsia="仿宋" w:cs="仿宋"/>
          <w:sz w:val="32"/>
          <w:szCs w:val="32"/>
        </w:rPr>
        <w:t>（四）配合政府相关职能部门做好招商引资服务工作。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（五）开展面向企业管理人员的公益性培训和教育辅导等工作。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（六）联系国内外各类政府机构和社会组织，为我县产业发展协调金融和基金支持等工作，包括利用外国政府和世界银行贷款的日常管理等工作。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（七)依托国家级中小企业公共示范平台，开展政策咨询，大数据共享、创业、培训服务，“个转企”和“上市辅导”等服务企业工作。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(八）按照国家、省相关政策法规要求，负责对纪检监察机关、公安司法机关、海关等部门查办案件涉案财物进行价格认定工作。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（九）负责本单位党的建设和群团工作。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（十）负责全县生产、经营进出口粮油食品质量进行监测和业务指导服务工作。</w:t>
      </w:r>
    </w:p>
    <w:p>
      <w:pPr>
        <w:spacing w:line="360" w:lineRule="auto"/>
        <w:ind w:firstLine="640" w:firstLineChars="200"/>
        <w:rPr>
          <w:rFonts w:ascii="仿宋_GB2312" w:eastAsia="仿宋_GB2312"/>
          <w:sz w:val="32"/>
          <w:szCs w:val="32"/>
        </w:rPr>
      </w:pPr>
      <w:r>
        <w:rPr>
          <w:rFonts w:hint="eastAsia" w:ascii="仿宋" w:hAnsi="仿宋" w:eastAsia="仿宋" w:cs="仿宋"/>
          <w:sz w:val="32"/>
          <w:szCs w:val="32"/>
        </w:rPr>
        <w:t>（十一）负责为县统计局提供</w:t>
      </w:r>
      <w:r>
        <w:rPr>
          <w:rFonts w:hint="eastAsia" w:ascii="仿宋_GB2312" w:eastAsia="仿宋_GB2312"/>
          <w:sz w:val="32"/>
          <w:szCs w:val="32"/>
        </w:rPr>
        <w:t>全县各行业统计调查相关服务工作。</w:t>
      </w:r>
    </w:p>
    <w:p>
      <w:pPr>
        <w:tabs>
          <w:tab w:val="left" w:pos="366"/>
        </w:tabs>
        <w:spacing w:line="360" w:lineRule="auto"/>
        <w:ind w:firstLine="640" w:firstLineChars="200"/>
        <w:rPr>
          <w:rFonts w:ascii="仿宋_GB2312" w:eastAsia="仿宋_GB2312"/>
          <w:sz w:val="32"/>
          <w:szCs w:val="32"/>
        </w:rPr>
      </w:pPr>
      <w:r>
        <w:rPr>
          <w:rFonts w:hint="eastAsia" w:ascii="仿宋_GB2312" w:eastAsia="仿宋_GB2312"/>
          <w:sz w:val="32"/>
          <w:szCs w:val="32"/>
        </w:rPr>
        <w:t>（十二）负责为</w:t>
      </w:r>
      <w:r>
        <w:rPr>
          <w:rFonts w:hint="eastAsia" w:ascii="仿宋" w:hAnsi="仿宋" w:eastAsia="仿宋" w:cs="仿宋"/>
          <w:sz w:val="32"/>
          <w:szCs w:val="32"/>
        </w:rPr>
        <w:t>县审计局提供</w:t>
      </w:r>
      <w:r>
        <w:rPr>
          <w:rFonts w:hint="eastAsia" w:ascii="仿宋_GB2312" w:eastAsia="仿宋_GB2312"/>
          <w:sz w:val="32"/>
          <w:szCs w:val="32"/>
        </w:rPr>
        <w:t>审计业务服务工作。</w:t>
      </w:r>
    </w:p>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（十三）承担县委、县政府交办的其他工作。</w:t>
      </w:r>
    </w:p>
    <w:p>
      <w:pPr>
        <w:pStyle w:val="9"/>
        <w:ind w:firstLine="640"/>
        <w:rPr>
          <w:rFonts w:ascii="仿宋_GB2312" w:eastAsia="仿宋_GB2312"/>
          <w:sz w:val="32"/>
          <w:szCs w:val="32"/>
        </w:rPr>
      </w:pPr>
      <w:r>
        <w:rPr>
          <w:rFonts w:hint="eastAsia" w:ascii="仿宋" w:hAnsi="仿宋" w:eastAsia="仿宋"/>
          <w:bCs/>
          <w:sz w:val="32"/>
          <w:szCs w:val="32"/>
        </w:rPr>
        <w:t>中心为县政府直属事业单位，核定事业编制1</w:t>
      </w:r>
      <w:r>
        <w:rPr>
          <w:rFonts w:hint="eastAsia" w:ascii="仿宋" w:hAnsi="仿宋" w:eastAsia="仿宋"/>
          <w:bCs/>
          <w:sz w:val="32"/>
          <w:szCs w:val="32"/>
          <w:lang w:val="en-US" w:eastAsia="zh-CN"/>
        </w:rPr>
        <w:t>32</w:t>
      </w:r>
      <w:r>
        <w:rPr>
          <w:rFonts w:hint="eastAsia" w:ascii="仿宋" w:hAnsi="仿宋" w:eastAsia="仿宋"/>
          <w:bCs/>
          <w:sz w:val="32"/>
          <w:szCs w:val="32"/>
        </w:rPr>
        <w:t>人，现有在职人员</w:t>
      </w:r>
      <w:r>
        <w:rPr>
          <w:rFonts w:hint="eastAsia" w:ascii="仿宋" w:hAnsi="仿宋" w:eastAsia="仿宋"/>
          <w:bCs/>
          <w:sz w:val="32"/>
          <w:szCs w:val="32"/>
          <w:lang w:val="en-US" w:eastAsia="zh-CN"/>
        </w:rPr>
        <w:t>92</w:t>
      </w:r>
      <w:r>
        <w:rPr>
          <w:rFonts w:hint="eastAsia" w:ascii="仿宋" w:hAnsi="仿宋" w:eastAsia="仿宋"/>
          <w:bCs/>
          <w:sz w:val="32"/>
          <w:szCs w:val="32"/>
        </w:rPr>
        <w:t>人，退休</w:t>
      </w:r>
      <w:r>
        <w:rPr>
          <w:rFonts w:hint="eastAsia" w:ascii="仿宋" w:hAnsi="仿宋" w:eastAsia="仿宋"/>
          <w:bCs/>
          <w:sz w:val="32"/>
          <w:szCs w:val="32"/>
          <w:lang w:val="en-US" w:eastAsia="zh-CN"/>
        </w:rPr>
        <w:t>150</w:t>
      </w:r>
      <w:r>
        <w:rPr>
          <w:rFonts w:hint="eastAsia" w:ascii="仿宋" w:hAnsi="仿宋" w:eastAsia="仿宋"/>
          <w:bCs/>
          <w:sz w:val="32"/>
          <w:szCs w:val="32"/>
        </w:rPr>
        <w:t>人，离休</w:t>
      </w:r>
      <w:r>
        <w:rPr>
          <w:rFonts w:hint="eastAsia" w:ascii="仿宋" w:hAnsi="仿宋" w:eastAsia="仿宋"/>
          <w:bCs/>
          <w:sz w:val="32"/>
          <w:szCs w:val="32"/>
          <w:lang w:val="en-US" w:eastAsia="zh-CN"/>
        </w:rPr>
        <w:t>1</w:t>
      </w:r>
      <w:r>
        <w:rPr>
          <w:rFonts w:hint="eastAsia" w:ascii="仿宋" w:hAnsi="仿宋" w:eastAsia="仿宋"/>
          <w:bCs/>
          <w:sz w:val="32"/>
          <w:szCs w:val="32"/>
        </w:rPr>
        <w:t>人，共设</w:t>
      </w:r>
      <w:r>
        <w:rPr>
          <w:rFonts w:hint="eastAsia" w:ascii="仿宋" w:hAnsi="仿宋" w:eastAsia="仿宋"/>
          <w:bCs/>
          <w:sz w:val="32"/>
          <w:szCs w:val="32"/>
          <w:lang w:val="en-US" w:eastAsia="zh-CN"/>
        </w:rPr>
        <w:t>置11</w:t>
      </w:r>
      <w:r>
        <w:rPr>
          <w:rFonts w:hint="eastAsia" w:ascii="仿宋" w:hAnsi="仿宋" w:eastAsia="仿宋"/>
          <w:bCs/>
          <w:sz w:val="32"/>
          <w:szCs w:val="32"/>
        </w:rPr>
        <w:t>个内设机构。</w:t>
      </w:r>
    </w:p>
    <w:p>
      <w:pPr>
        <w:pStyle w:val="6"/>
        <w:spacing w:before="0" w:beforeAutospacing="0" w:after="0" w:afterAutospacing="0" w:line="360" w:lineRule="auto"/>
        <w:ind w:firstLine="643" w:firstLineChars="200"/>
        <w:rPr>
          <w:rFonts w:ascii="仿宋" w:hAnsi="仿宋" w:eastAsia="仿宋" w:cs="仿宋"/>
          <w:b/>
          <w:sz w:val="32"/>
          <w:szCs w:val="32"/>
        </w:rPr>
      </w:pPr>
      <w:r>
        <w:rPr>
          <w:rFonts w:hint="eastAsia" w:ascii="仿宋" w:hAnsi="仿宋" w:eastAsia="仿宋" w:cs="仿宋"/>
          <w:b/>
          <w:sz w:val="32"/>
          <w:szCs w:val="32"/>
        </w:rPr>
        <w:t>二、预算收支增减变化情况</w:t>
      </w:r>
    </w:p>
    <w:p>
      <w:pPr>
        <w:pStyle w:val="6"/>
        <w:numPr>
          <w:ilvl w:val="0"/>
          <w:numId w:val="0"/>
        </w:numPr>
        <w:spacing w:before="0" w:beforeAutospacing="0" w:after="0" w:afterAutospacing="0"/>
        <w:ind w:firstLine="640" w:firstLineChars="200"/>
        <w:rPr>
          <w:rFonts w:hint="default" w:ascii="仿宋" w:hAnsi="仿宋" w:eastAsia="仿宋" w:cs="仿宋"/>
          <w:b w:val="0"/>
          <w:bCs/>
          <w:sz w:val="32"/>
          <w:szCs w:val="32"/>
          <w:lang w:val="en-US" w:eastAsia="zh-CN"/>
        </w:rPr>
      </w:pPr>
      <w:r>
        <w:rPr>
          <w:rFonts w:hint="eastAsia" w:ascii="仿宋" w:hAnsi="仿宋" w:eastAsia="仿宋"/>
          <w:b w:val="0"/>
          <w:bCs/>
          <w:sz w:val="32"/>
          <w:szCs w:val="32"/>
          <w:lang w:eastAsia="zh-CN"/>
        </w:rPr>
        <w:t>我单位各项经费均为财政拨款，各项支出均按财政要求支出。</w:t>
      </w:r>
      <w:r>
        <w:rPr>
          <w:rFonts w:hint="eastAsia" w:ascii="仿宋" w:hAnsi="仿宋" w:eastAsia="仿宋" w:cs="仿宋"/>
          <w:b w:val="0"/>
          <w:bCs/>
          <w:sz w:val="32"/>
          <w:szCs w:val="32"/>
          <w:lang w:val="en-US" w:eastAsia="zh-CN"/>
        </w:rPr>
        <w:t>康平县产业转型升级促进中心2022年度按照综合预算的原则，收入支出均纳入部门预算管理。收入是一般公共财政预算拨款收入；支出包括，一般公共服务支出、社会保障和就业支出、卫生健康支出、住房保障支出。</w:t>
      </w:r>
    </w:p>
    <w:p>
      <w:pPr>
        <w:numPr>
          <w:ilvl w:val="0"/>
          <w:numId w:val="0"/>
        </w:numPr>
        <w:spacing w:line="540" w:lineRule="exact"/>
        <w:ind w:firstLine="640" w:firstLineChars="200"/>
        <w:rPr>
          <w:rFonts w:hint="eastAsia" w:ascii="仿宋_GB2312" w:hAnsi="仿宋" w:eastAsia="仿宋_GB2312"/>
          <w:sz w:val="32"/>
          <w:szCs w:val="32"/>
          <w:lang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2022年财政拨款收入年初预算数1003.76万元，2021年收入数为895.45万元，2022年比2021年财政拨款收入年初预算数增加108.31万元，增加12.10%。原因是</w:t>
      </w:r>
      <w:r>
        <w:rPr>
          <w:rFonts w:hint="eastAsia" w:ascii="仿宋_GB2312" w:hAnsi="仿宋" w:eastAsia="仿宋_GB2312"/>
          <w:sz w:val="32"/>
          <w:szCs w:val="32"/>
        </w:rPr>
        <w:t>人员调动及人员经费调整</w:t>
      </w:r>
      <w:r>
        <w:rPr>
          <w:rFonts w:hint="eastAsia" w:ascii="仿宋_GB2312" w:hAnsi="仿宋" w:eastAsia="仿宋_GB2312"/>
          <w:sz w:val="32"/>
          <w:szCs w:val="32"/>
          <w:lang w:eastAsia="zh-CN"/>
        </w:rPr>
        <w:t>。</w:t>
      </w:r>
    </w:p>
    <w:p>
      <w:pPr>
        <w:numPr>
          <w:ilvl w:val="0"/>
          <w:numId w:val="0"/>
        </w:numPr>
        <w:spacing w:line="540" w:lineRule="exact"/>
        <w:ind w:firstLine="640" w:firstLineChars="200"/>
        <w:rPr>
          <w:rFonts w:hint="default" w:ascii="仿宋" w:hAnsi="仿宋" w:eastAsia="仿宋" w:cs="Times New Roman"/>
          <w:sz w:val="32"/>
          <w:lang w:val="en-US" w:eastAsia="zh-CN"/>
        </w:rPr>
      </w:pPr>
      <w:r>
        <w:rPr>
          <w:rFonts w:hint="eastAsia" w:ascii="仿宋" w:hAnsi="仿宋" w:eastAsia="仿宋" w:cs="Times New Roman"/>
          <w:sz w:val="32"/>
          <w:lang w:val="en-US" w:eastAsia="zh-CN"/>
        </w:rPr>
        <w:t>2022年一般公共预算支出1003.76万元，其中基本支出703.76万元，项目支出300万元。基本支出中，人员经费675.26万元，公用经费28.5万元。比2021年一般公共预算支出895.45万元增加了108.31万元。原因是人员调动及人员经费调整。</w:t>
      </w:r>
    </w:p>
    <w:p>
      <w:pPr>
        <w:numPr>
          <w:ilvl w:val="0"/>
          <w:numId w:val="0"/>
        </w:numPr>
        <w:spacing w:line="540" w:lineRule="exact"/>
        <w:ind w:firstLine="643" w:firstLineChars="200"/>
        <w:rPr>
          <w:rFonts w:hint="default" w:ascii="仿宋" w:hAnsi="仿宋" w:eastAsia="仿宋" w:cs="仿宋"/>
          <w:b/>
          <w:sz w:val="32"/>
          <w:szCs w:val="32"/>
          <w:lang w:val="en-US" w:eastAsia="zh-CN"/>
        </w:rPr>
      </w:pPr>
      <w:r>
        <w:rPr>
          <w:rFonts w:hint="eastAsia" w:ascii="仿宋" w:hAnsi="仿宋" w:eastAsia="仿宋" w:cs="仿宋"/>
          <w:b/>
          <w:sz w:val="32"/>
          <w:szCs w:val="32"/>
          <w:lang w:val="en-US" w:eastAsia="zh-CN"/>
        </w:rPr>
        <w:t>三、其他重要事项情况说明</w:t>
      </w:r>
    </w:p>
    <w:p>
      <w:pPr>
        <w:pStyle w:val="6"/>
        <w:tabs>
          <w:tab w:val="left" w:pos="606"/>
        </w:tabs>
        <w:spacing w:before="0" w:beforeAutospacing="0" w:after="0" w:afterAutospacing="0" w:line="360" w:lineRule="auto"/>
        <w:ind w:firstLine="640" w:firstLineChars="200"/>
        <w:rPr>
          <w:rFonts w:hint="eastAsia" w:ascii="仿宋" w:hAnsi="仿宋" w:eastAsia="仿宋" w:cs="仿宋"/>
          <w:b w:val="0"/>
          <w:bCs/>
          <w:sz w:val="32"/>
          <w:szCs w:val="32"/>
          <w:lang w:val="en-US" w:eastAsia="zh-CN"/>
        </w:rPr>
      </w:pPr>
      <w:r>
        <w:rPr>
          <w:rFonts w:hint="eastAsia" w:ascii="仿宋" w:hAnsi="仿宋" w:eastAsia="仿宋" w:cs="Times New Roman"/>
          <w:sz w:val="32"/>
          <w:lang w:val="en-US" w:eastAsia="zh-CN"/>
        </w:rPr>
        <w:t>（一）机关运行经费安排情况</w:t>
      </w:r>
    </w:p>
    <w:p>
      <w:pPr>
        <w:pStyle w:val="6"/>
        <w:tabs>
          <w:tab w:val="left" w:pos="606"/>
        </w:tabs>
        <w:spacing w:before="0" w:beforeAutospacing="0" w:after="0" w:afterAutospacing="0" w:line="360" w:lineRule="auto"/>
        <w:ind w:firstLine="640" w:firstLineChars="200"/>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我单位为事业单位无机关运行费。</w:t>
      </w:r>
    </w:p>
    <w:p>
      <w:pPr>
        <w:numPr>
          <w:ilvl w:val="0"/>
          <w:numId w:val="3"/>
        </w:numPr>
        <w:ind w:left="-10" w:leftChars="0" w:firstLine="640" w:firstLineChars="0"/>
        <w:jc w:val="left"/>
        <w:rPr>
          <w:rFonts w:hint="default" w:ascii="仿宋" w:hAnsi="仿宋" w:eastAsia="仿宋" w:cs="Times New Roman"/>
          <w:sz w:val="32"/>
          <w:lang w:val="en-US" w:eastAsia="zh-CN"/>
        </w:rPr>
      </w:pPr>
      <w:r>
        <w:rPr>
          <w:rFonts w:hint="eastAsia" w:ascii="仿宋" w:hAnsi="仿宋" w:eastAsia="仿宋" w:cs="Times New Roman"/>
          <w:sz w:val="32"/>
          <w:lang w:val="en-US" w:eastAsia="zh-CN"/>
        </w:rPr>
        <w:t>政府性基金预算支出安排情况</w:t>
      </w:r>
    </w:p>
    <w:p>
      <w:pPr>
        <w:pStyle w:val="6"/>
        <w:tabs>
          <w:tab w:val="left" w:pos="606"/>
        </w:tabs>
        <w:spacing w:before="0" w:beforeAutospacing="0" w:after="0" w:afterAutospacing="0" w:line="360" w:lineRule="auto"/>
        <w:ind w:firstLine="640" w:firstLineChars="200"/>
        <w:rPr>
          <w:rFonts w:hint="eastAsia" w:ascii="仿宋" w:hAnsi="仿宋" w:eastAsia="仿宋" w:cs="Times New Roman"/>
          <w:sz w:val="32"/>
          <w:lang w:val="en-US" w:eastAsia="zh-CN"/>
        </w:rPr>
      </w:pPr>
      <w:r>
        <w:rPr>
          <w:rFonts w:hint="eastAsia" w:ascii="仿宋" w:hAnsi="仿宋" w:eastAsia="仿宋" w:cs="Times New Roman"/>
          <w:sz w:val="32"/>
          <w:lang w:val="en-US" w:eastAsia="zh-CN"/>
        </w:rPr>
        <w:t>2022年康平县产业转型升级促进中心本级预算未安排政府性基金预算支出。</w:t>
      </w:r>
    </w:p>
    <w:p>
      <w:pPr>
        <w:numPr>
          <w:ilvl w:val="0"/>
          <w:numId w:val="3"/>
        </w:numPr>
        <w:ind w:left="-10" w:leftChars="0" w:firstLine="640" w:firstLineChars="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债务支出预算安排情况</w:t>
      </w:r>
    </w:p>
    <w:p>
      <w:pPr>
        <w:pStyle w:val="6"/>
        <w:tabs>
          <w:tab w:val="left" w:pos="606"/>
        </w:tabs>
        <w:spacing w:before="0" w:beforeAutospacing="0" w:after="0" w:afterAutospacing="0" w:line="360" w:lineRule="auto"/>
        <w:ind w:firstLine="640" w:firstLineChars="200"/>
        <w:rPr>
          <w:rFonts w:hint="eastAsia" w:ascii="仿宋" w:hAnsi="仿宋" w:eastAsia="仿宋" w:cs="Times New Roman"/>
          <w:sz w:val="32"/>
          <w:lang w:val="en-US" w:eastAsia="zh-CN"/>
        </w:rPr>
      </w:pPr>
      <w:r>
        <w:rPr>
          <w:rFonts w:hint="eastAsia" w:ascii="仿宋" w:hAnsi="仿宋" w:eastAsia="仿宋" w:cs="Times New Roman"/>
          <w:sz w:val="32"/>
          <w:lang w:val="en-US" w:eastAsia="zh-CN"/>
        </w:rPr>
        <w:t>2022年康平县产业转型升级促进中心本级预算未安排债务支出。</w:t>
      </w:r>
    </w:p>
    <w:p>
      <w:pPr>
        <w:numPr>
          <w:ilvl w:val="0"/>
          <w:numId w:val="3"/>
        </w:numPr>
        <w:ind w:left="-10" w:leftChars="0" w:firstLine="640" w:firstLineChars="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政府采购支出预算安排情况</w:t>
      </w:r>
    </w:p>
    <w:p>
      <w:pPr>
        <w:numPr>
          <w:ilvl w:val="0"/>
          <w:numId w:val="0"/>
        </w:numPr>
        <w:ind w:firstLine="640" w:firstLineChars="20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2022年康平县产业转型升级促进中心本级预算未安排政府采购。</w:t>
      </w:r>
    </w:p>
    <w:p>
      <w:pPr>
        <w:numPr>
          <w:ilvl w:val="0"/>
          <w:numId w:val="3"/>
        </w:numPr>
        <w:ind w:left="-10" w:leftChars="0" w:firstLine="640" w:firstLineChars="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一般公共预算“三公”经费支出安排情况</w:t>
      </w:r>
    </w:p>
    <w:p>
      <w:pPr>
        <w:pStyle w:val="6"/>
        <w:spacing w:before="0" w:beforeAutospacing="0" w:after="0" w:afterAutospacing="0"/>
        <w:ind w:firstLine="640" w:firstLineChars="200"/>
        <w:rPr>
          <w:rFonts w:hint="eastAsia" w:ascii="仿宋" w:hAnsi="仿宋" w:eastAsia="仿宋" w:cs="Times New Roman"/>
          <w:sz w:val="32"/>
          <w:lang w:val="en-US" w:eastAsia="zh-CN"/>
        </w:rPr>
      </w:pPr>
      <w:r>
        <w:rPr>
          <w:rFonts w:hint="eastAsia" w:ascii="仿宋" w:hAnsi="仿宋" w:eastAsia="仿宋"/>
          <w:bCs/>
          <w:sz w:val="32"/>
          <w:szCs w:val="32"/>
        </w:rPr>
        <w:t>我中心2021年及2022年均无“三公”经费支出，也无增减变化。</w:t>
      </w:r>
    </w:p>
    <w:p>
      <w:pPr>
        <w:numPr>
          <w:ilvl w:val="0"/>
          <w:numId w:val="3"/>
        </w:numPr>
        <w:ind w:left="-10" w:leftChars="0" w:firstLine="640" w:firstLineChars="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政府购买服务支出预算安排情况</w:t>
      </w:r>
    </w:p>
    <w:p>
      <w:pPr>
        <w:numPr>
          <w:ilvl w:val="0"/>
          <w:numId w:val="0"/>
        </w:numPr>
        <w:ind w:firstLine="640" w:firstLineChars="20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2022年康平县产业转型升级促进中心本级预算未安排政府购买服务支出。</w:t>
      </w:r>
    </w:p>
    <w:p>
      <w:pPr>
        <w:numPr>
          <w:ilvl w:val="0"/>
          <w:numId w:val="3"/>
        </w:numPr>
        <w:ind w:left="-10" w:leftChars="0" w:firstLine="640" w:firstLineChars="0"/>
        <w:jc w:val="left"/>
        <w:rPr>
          <w:rFonts w:hint="eastAsia" w:ascii="仿宋" w:hAnsi="仿宋" w:eastAsia="仿宋" w:cs="Times New Roman"/>
          <w:sz w:val="32"/>
          <w:lang w:val="en-US" w:eastAsia="zh-CN"/>
        </w:rPr>
      </w:pPr>
      <w:r>
        <w:rPr>
          <w:rFonts w:hint="eastAsia" w:ascii="仿宋" w:hAnsi="仿宋" w:eastAsia="仿宋" w:cs="Times New Roman"/>
          <w:sz w:val="32"/>
          <w:lang w:val="en-US" w:eastAsia="zh-CN"/>
        </w:rPr>
        <w:t>部门预算项目（政策）绩效目标情况</w:t>
      </w:r>
    </w:p>
    <w:p>
      <w:pPr>
        <w:numPr>
          <w:ilvl w:val="0"/>
          <w:numId w:val="0"/>
        </w:numPr>
        <w:jc w:val="left"/>
        <w:rPr>
          <w:rFonts w:hint="default" w:ascii="仿宋" w:hAnsi="仿宋" w:eastAsia="仿宋" w:cs="Times New Roman"/>
          <w:sz w:val="32"/>
          <w:lang w:val="en-US" w:eastAsia="zh-CN"/>
        </w:rPr>
      </w:pPr>
      <w:r>
        <w:rPr>
          <w:rFonts w:hint="eastAsia" w:ascii="仿宋" w:hAnsi="仿宋" w:eastAsia="仿宋" w:cs="Times New Roman"/>
          <w:sz w:val="32"/>
          <w:lang w:val="en-US" w:eastAsia="zh-CN"/>
        </w:rPr>
        <w:t xml:space="preserve">    我单位没有部门预算项目。</w:t>
      </w:r>
    </w:p>
    <w:p>
      <w:pPr>
        <w:numPr>
          <w:ilvl w:val="0"/>
          <w:numId w:val="0"/>
        </w:numPr>
        <w:ind w:firstLine="640" w:firstLineChars="200"/>
        <w:jc w:val="left"/>
        <w:rPr>
          <w:rFonts w:hint="default" w:ascii="仿宋" w:hAnsi="仿宋" w:eastAsia="仿宋" w:cs="Times New Roman"/>
          <w:sz w:val="32"/>
          <w:lang w:val="en-US" w:eastAsia="zh-CN"/>
        </w:rPr>
      </w:pPr>
    </w:p>
    <w:p>
      <w:pPr>
        <w:pStyle w:val="6"/>
        <w:numPr>
          <w:ilvl w:val="0"/>
          <w:numId w:val="0"/>
        </w:numPr>
        <w:spacing w:before="0" w:beforeAutospacing="0" w:after="0" w:afterAutospacing="0" w:line="360" w:lineRule="auto"/>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四、</w:t>
      </w:r>
      <w:r>
        <w:rPr>
          <w:rFonts w:hint="eastAsia" w:ascii="仿宋" w:hAnsi="仿宋" w:eastAsia="仿宋" w:cs="仿宋"/>
          <w:b/>
          <w:sz w:val="32"/>
          <w:szCs w:val="32"/>
        </w:rPr>
        <w:t>预算绩效情况</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eastAsia="zh-CN"/>
        </w:rPr>
        <w:t>为了进一步贯彻《预算法》，加强绩效管理。根据《关于做好</w:t>
      </w:r>
      <w:r>
        <w:rPr>
          <w:rFonts w:hint="eastAsia" w:ascii="仿宋_GB2312" w:hAnsi="Times New Roman" w:eastAsia="仿宋_GB2312" w:cs="仿宋_GB2312"/>
          <w:b w:val="0"/>
          <w:bCs/>
          <w:kern w:val="2"/>
          <w:sz w:val="32"/>
          <w:szCs w:val="32"/>
          <w:lang w:val="en-US" w:eastAsia="zh-CN"/>
        </w:rPr>
        <w:t>2022年度预算绩效管理工作考核的通知</w:t>
      </w:r>
      <w:r>
        <w:rPr>
          <w:rFonts w:hint="eastAsia" w:ascii="仿宋_GB2312" w:hAnsi="Times New Roman" w:eastAsia="仿宋_GB2312" w:cs="仿宋_GB2312"/>
          <w:b w:val="0"/>
          <w:bCs/>
          <w:kern w:val="2"/>
          <w:sz w:val="32"/>
          <w:szCs w:val="32"/>
          <w:lang w:eastAsia="zh-CN"/>
        </w:rPr>
        <w:t>》文件精神，我单位</w:t>
      </w:r>
      <w:r>
        <w:rPr>
          <w:rFonts w:hint="eastAsia" w:ascii="仿宋_GB2312" w:hAnsi="Times New Roman" w:eastAsia="仿宋_GB2312" w:cs="仿宋_GB2312"/>
          <w:b w:val="0"/>
          <w:bCs/>
          <w:kern w:val="2"/>
          <w:sz w:val="32"/>
          <w:szCs w:val="32"/>
          <w:lang w:val="en-US" w:eastAsia="zh-CN"/>
        </w:rPr>
        <w:t>2022年度预算绩效管理工作如下。</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（一）年度预算绩效管理工作整体开展情况</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2022年，我单位以绩效目标实现为导向，进一步加强制度建设，提升自评质量，使预算绩效管理取得新成效。一是抓好绩效目标编制，及时报送绩效目标；二是探索绩效跟踪监控，加强过程监控；三是深入开展支出绩效评价，对专项资金实施绩效自评，在此基础上形成自评报告；四是强化评价结果应用，组织绩效自评和绩效跟踪监控，对发现的问题及时改进，加强评价结果与项目资金安排的衔接；五是健全绩效管理工作机制，明确职责分工，努力提高绩效管理工作水平。</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（二）基础工作管理</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我中心领导非常重视预算绩效管理工作对各项工作给予大力支持和指导，对上级做出的批示和下发的政策批复非常关心。在一些制度建设方面我们做得</w:t>
      </w:r>
      <w:bookmarkStart w:id="0" w:name="_GoBack"/>
      <w:bookmarkEnd w:id="0"/>
      <w:r>
        <w:rPr>
          <w:rFonts w:hint="eastAsia" w:ascii="仿宋_GB2312" w:hAnsi="Times New Roman" w:eastAsia="仿宋_GB2312" w:cs="仿宋_GB2312"/>
          <w:b w:val="0"/>
          <w:bCs/>
          <w:kern w:val="2"/>
          <w:sz w:val="32"/>
          <w:szCs w:val="32"/>
          <w:lang w:val="en-US" w:eastAsia="zh-CN"/>
        </w:rPr>
        <w:t>有些欠缺，有待提高和完善。</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（三）绩效项目管理</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中心年度预算收入1003.76万元，绩效目标是保障单位人员及日常经费支出。年度预算主要任务是部门基本支出人员经费675.26万元；部门基本支出公用经费28.5万元；其他运转类项目支出临时工经费300万元。要实现履职效能，履行重点工作办结率要达到100%，，整体工作完成及时率要达到100%，整体工作质量达标率要达到100%，整体工作完成率要达到100%。预算执行率要达到100%。预算绩效目标覆盖率要达到100%。预决算要全部公开，预算收入支出管理要规范。财务、内控制度管理实现有效性。固定资产利用率要达到100%，运行成本控制要有成效，“三公”经费变动率保持零，在职人员控制率要达到100%。</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（四）下一年工作计划</w:t>
      </w:r>
    </w:p>
    <w:p>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新的一年即将开始，我中心将搞好预算绩效管理工作，按照上级部门的要求做好新的预算，保证预算准确、无失误，将预算绩效管理工作做得更好。</w:t>
      </w:r>
    </w:p>
    <w:p>
      <w:pPr>
        <w:pStyle w:val="6"/>
        <w:spacing w:before="0" w:beforeAutospacing="0" w:after="0" w:afterAutospacing="0" w:line="360" w:lineRule="auto"/>
        <w:ind w:firstLine="643" w:firstLineChars="200"/>
        <w:rPr>
          <w:rFonts w:ascii="仿宋" w:hAnsi="仿宋" w:eastAsia="仿宋"/>
          <w:b/>
          <w:sz w:val="32"/>
          <w:szCs w:val="32"/>
        </w:rPr>
      </w:pPr>
      <w:r>
        <w:rPr>
          <w:rFonts w:hint="eastAsia" w:ascii="仿宋" w:hAnsi="仿宋" w:eastAsia="仿宋"/>
          <w:b/>
          <w:sz w:val="32"/>
          <w:szCs w:val="32"/>
          <w:lang w:val="en-US" w:eastAsia="zh-CN"/>
        </w:rPr>
        <w:t>五</w:t>
      </w:r>
      <w:r>
        <w:rPr>
          <w:rFonts w:hint="eastAsia" w:ascii="仿宋" w:hAnsi="仿宋" w:eastAsia="仿宋"/>
          <w:b/>
          <w:sz w:val="32"/>
          <w:szCs w:val="32"/>
        </w:rPr>
        <w:t>、国有资产占用使用情况</w:t>
      </w:r>
    </w:p>
    <w:p>
      <w:pPr>
        <w:spacing w:line="360" w:lineRule="auto"/>
        <w:ind w:firstLine="640" w:firstLineChars="200"/>
        <w:rPr>
          <w:rFonts w:hint="default" w:ascii="仿宋" w:hAnsi="仿宋" w:eastAsia="仿宋" w:cs="仿宋"/>
          <w:sz w:val="32"/>
          <w:szCs w:val="32"/>
          <w:lang w:val="en-US"/>
        </w:rPr>
      </w:pPr>
      <w:r>
        <w:rPr>
          <w:rFonts w:hint="eastAsia" w:ascii="仿宋" w:hAnsi="仿宋" w:eastAsia="仿宋" w:cs="仿宋"/>
          <w:sz w:val="32"/>
          <w:szCs w:val="32"/>
        </w:rPr>
        <w:t>截至20</w:t>
      </w:r>
      <w:r>
        <w:rPr>
          <w:rFonts w:hint="eastAsia" w:ascii="仿宋" w:hAnsi="仿宋" w:eastAsia="仿宋" w:cs="仿宋"/>
          <w:sz w:val="32"/>
          <w:szCs w:val="32"/>
          <w:lang w:val="en-US" w:eastAsia="zh-CN"/>
        </w:rPr>
        <w:t>21</w:t>
      </w:r>
      <w:r>
        <w:rPr>
          <w:rFonts w:hint="eastAsia" w:ascii="仿宋" w:hAnsi="仿宋" w:eastAsia="仿宋" w:cs="仿宋"/>
          <w:sz w:val="32"/>
          <w:szCs w:val="32"/>
        </w:rPr>
        <w:t>年12月31日,产业转型升级促进中心固定资产为</w:t>
      </w:r>
      <w:r>
        <w:rPr>
          <w:rFonts w:hint="eastAsia" w:ascii="仿宋" w:hAnsi="仿宋" w:eastAsia="仿宋" w:cs="仿宋"/>
          <w:sz w:val="32"/>
          <w:szCs w:val="32"/>
          <w:lang w:val="en-US" w:eastAsia="zh-CN"/>
        </w:rPr>
        <w:t>61</w:t>
      </w:r>
      <w:r>
        <w:rPr>
          <w:rFonts w:hint="eastAsia" w:ascii="仿宋" w:hAnsi="仿宋" w:eastAsia="仿宋" w:cs="仿宋"/>
          <w:sz w:val="32"/>
          <w:szCs w:val="32"/>
        </w:rPr>
        <w:t>万元。</w:t>
      </w:r>
      <w:r>
        <w:rPr>
          <w:rFonts w:hint="eastAsia" w:ascii="仿宋_GB2312" w:hAnsi="仿宋_GB2312" w:eastAsia="仿宋_GB2312" w:cs="仿宋_GB2312"/>
          <w:sz w:val="32"/>
          <w:szCs w:val="32"/>
        </w:rPr>
        <w:t>与上年相比</w:t>
      </w:r>
      <w:r>
        <w:rPr>
          <w:rFonts w:hint="eastAsia" w:ascii="仿宋_GB2312" w:hAnsi="仿宋_GB2312" w:eastAsia="仿宋_GB2312" w:cs="仿宋_GB2312"/>
          <w:sz w:val="32"/>
          <w:szCs w:val="32"/>
          <w:lang w:eastAsia="zh-CN"/>
        </w:rPr>
        <w:t>共</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10.24</w:t>
      </w:r>
      <w:r>
        <w:rPr>
          <w:rFonts w:hint="eastAsia" w:ascii="仿宋_GB2312" w:hAnsi="仿宋_GB2312" w:eastAsia="仿宋_GB2312" w:cs="仿宋_GB2312"/>
          <w:sz w:val="32"/>
          <w:szCs w:val="32"/>
        </w:rPr>
        <w:t>万元，原因为</w:t>
      </w:r>
      <w:r>
        <w:rPr>
          <w:rFonts w:hint="eastAsia" w:ascii="仿宋_GB2312" w:hAnsi="仿宋_GB2312" w:eastAsia="仿宋_GB2312" w:cs="仿宋_GB2312"/>
          <w:sz w:val="32"/>
          <w:szCs w:val="32"/>
          <w:lang w:eastAsia="zh-CN"/>
        </w:rPr>
        <w:t>上级部门要求对固定资产累计折旧</w:t>
      </w:r>
      <w:r>
        <w:rPr>
          <w:rFonts w:hint="eastAsia" w:ascii="仿宋_GB2312" w:hAnsi="仿宋_GB2312" w:eastAsia="仿宋_GB2312" w:cs="仿宋_GB2312"/>
          <w:sz w:val="32"/>
          <w:szCs w:val="32"/>
          <w:lang w:val="en-US" w:eastAsia="zh-CN"/>
        </w:rPr>
        <w:t>和超年限资产报废处理。</w:t>
      </w:r>
    </w:p>
    <w:p>
      <w:pPr>
        <w:pStyle w:val="6"/>
        <w:spacing w:before="0" w:beforeAutospacing="0" w:after="0" w:afterAutospacing="0" w:line="360" w:lineRule="auto"/>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六</w:t>
      </w:r>
      <w:r>
        <w:rPr>
          <w:rFonts w:hint="eastAsia" w:ascii="仿宋" w:hAnsi="仿宋" w:eastAsia="仿宋"/>
          <w:b/>
          <w:sz w:val="32"/>
          <w:szCs w:val="32"/>
        </w:rPr>
        <w:t>、名词解释</w:t>
      </w:r>
    </w:p>
    <w:p>
      <w:pPr>
        <w:spacing w:line="360" w:lineRule="auto"/>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spacing w:line="360" w:lineRule="auto"/>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spacing w:line="360" w:lineRule="auto"/>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spacing w:line="360" w:lineRule="auto"/>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pPr>
        <w:spacing w:line="360" w:lineRule="auto"/>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spacing w:line="360" w:lineRule="auto"/>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spacing w:line="360" w:lineRule="auto"/>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spacing w:line="360" w:lineRule="auto"/>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spacing w:line="360" w:lineRule="auto"/>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spacing w:line="360" w:lineRule="auto"/>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spacing w:line="360" w:lineRule="auto"/>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spacing w:line="360" w:lineRule="auto"/>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spacing w:line="360" w:lineRule="auto"/>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spacing w:line="360" w:lineRule="auto"/>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spacing w:line="360" w:lineRule="auto"/>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spacing w:line="360" w:lineRule="auto"/>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pPr>
        <w:spacing w:line="360" w:lineRule="auto"/>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spacing w:line="360" w:lineRule="auto"/>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360" w:lineRule="auto"/>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rPr>
          <w:rFonts w:ascii="仿宋" w:hAnsi="仿宋" w:eastAsia="仿宋" w:cs="仿宋"/>
          <w:sz w:val="32"/>
          <w:szCs w:val="32"/>
        </w:rPr>
      </w:pPr>
    </w:p>
    <w:p>
      <w:pPr>
        <w:spacing w:line="360" w:lineRule="auto"/>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744BA8"/>
    <w:multiLevelType w:val="singleLevel"/>
    <w:tmpl w:val="43744BA8"/>
    <w:lvl w:ilvl="0" w:tentative="0">
      <w:start w:val="2"/>
      <w:numFmt w:val="chineseCounting"/>
      <w:suff w:val="nothing"/>
      <w:lvlText w:val="（%1）"/>
      <w:lvlJc w:val="left"/>
      <w:pPr>
        <w:ind w:left="-10"/>
      </w:pPr>
      <w:rPr>
        <w:rFonts w:hint="eastAsia"/>
      </w:rPr>
    </w:lvl>
  </w:abstractNum>
  <w:abstractNum w:abstractNumId="1">
    <w:nsid w:val="66E29707"/>
    <w:multiLevelType w:val="singleLevel"/>
    <w:tmpl w:val="66E29707"/>
    <w:lvl w:ilvl="0" w:tentative="0">
      <w:start w:val="1"/>
      <w:numFmt w:val="chineseCounting"/>
      <w:suff w:val="nothing"/>
      <w:lvlText w:val="%1、"/>
      <w:lvlJc w:val="left"/>
      <w:rPr>
        <w:rFonts w:hint="eastAsia"/>
      </w:rPr>
    </w:lvl>
  </w:abstractNum>
  <w:abstractNum w:abstractNumId="2">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MTdkNDExYWQ5MTg5NjA0MjdjZjZkNzg0MzBjYjIifQ=="/>
  </w:docVars>
  <w:rsids>
    <w:rsidRoot w:val="07650B29"/>
    <w:rsid w:val="000B75F7"/>
    <w:rsid w:val="001F4053"/>
    <w:rsid w:val="0067002C"/>
    <w:rsid w:val="006D2C4E"/>
    <w:rsid w:val="007F3A39"/>
    <w:rsid w:val="00824F56"/>
    <w:rsid w:val="00CF46DF"/>
    <w:rsid w:val="00EF71F1"/>
    <w:rsid w:val="0295277A"/>
    <w:rsid w:val="03EF2191"/>
    <w:rsid w:val="05AC2D24"/>
    <w:rsid w:val="07650B29"/>
    <w:rsid w:val="07AB5C8D"/>
    <w:rsid w:val="07C36511"/>
    <w:rsid w:val="0A3F7164"/>
    <w:rsid w:val="0A4A7D61"/>
    <w:rsid w:val="0A944BAB"/>
    <w:rsid w:val="0D42742D"/>
    <w:rsid w:val="0E5164B5"/>
    <w:rsid w:val="13436FF4"/>
    <w:rsid w:val="154A6E06"/>
    <w:rsid w:val="156113F0"/>
    <w:rsid w:val="182D71DB"/>
    <w:rsid w:val="187C78C4"/>
    <w:rsid w:val="1BAB329D"/>
    <w:rsid w:val="1BBF7132"/>
    <w:rsid w:val="1DF12B90"/>
    <w:rsid w:val="1EC76DD8"/>
    <w:rsid w:val="1ED43B3F"/>
    <w:rsid w:val="213678F5"/>
    <w:rsid w:val="22C54AA6"/>
    <w:rsid w:val="26A960F2"/>
    <w:rsid w:val="280210C8"/>
    <w:rsid w:val="296978A8"/>
    <w:rsid w:val="30EE5D17"/>
    <w:rsid w:val="32F45F33"/>
    <w:rsid w:val="33232BDD"/>
    <w:rsid w:val="33CE34F6"/>
    <w:rsid w:val="343138F3"/>
    <w:rsid w:val="350F5ABF"/>
    <w:rsid w:val="35796F43"/>
    <w:rsid w:val="3DF97CDE"/>
    <w:rsid w:val="452B3E5F"/>
    <w:rsid w:val="45620F28"/>
    <w:rsid w:val="467B2C95"/>
    <w:rsid w:val="4769466F"/>
    <w:rsid w:val="476C5BBC"/>
    <w:rsid w:val="479E6FA7"/>
    <w:rsid w:val="48084421"/>
    <w:rsid w:val="4B034868"/>
    <w:rsid w:val="4D012973"/>
    <w:rsid w:val="4D682B92"/>
    <w:rsid w:val="4E445F6B"/>
    <w:rsid w:val="4F493C9D"/>
    <w:rsid w:val="5095219D"/>
    <w:rsid w:val="512A64BC"/>
    <w:rsid w:val="53CA4C80"/>
    <w:rsid w:val="54230897"/>
    <w:rsid w:val="55684751"/>
    <w:rsid w:val="585746BB"/>
    <w:rsid w:val="58B64C6D"/>
    <w:rsid w:val="5CC05129"/>
    <w:rsid w:val="601B45AF"/>
    <w:rsid w:val="60403A5B"/>
    <w:rsid w:val="616F3A09"/>
    <w:rsid w:val="622E4504"/>
    <w:rsid w:val="62862885"/>
    <w:rsid w:val="629453E9"/>
    <w:rsid w:val="63A45744"/>
    <w:rsid w:val="642D4BC9"/>
    <w:rsid w:val="66DF131D"/>
    <w:rsid w:val="68EF720B"/>
    <w:rsid w:val="696D6889"/>
    <w:rsid w:val="6A795D36"/>
    <w:rsid w:val="6ABD37DA"/>
    <w:rsid w:val="6B1E16E2"/>
    <w:rsid w:val="6E4C0C5C"/>
    <w:rsid w:val="6F265417"/>
    <w:rsid w:val="71914A35"/>
    <w:rsid w:val="72D40798"/>
    <w:rsid w:val="77091714"/>
    <w:rsid w:val="77824FEC"/>
    <w:rsid w:val="7F144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1"/>
    <w:pPr>
      <w:ind w:left="115"/>
    </w:pPr>
    <w:rPr>
      <w:rFonts w:ascii="宋体" w:hAnsi="宋体" w:cs="宋体"/>
      <w:sz w:val="32"/>
      <w:szCs w:val="32"/>
      <w:lang w:val="zh-CN" w:bidi="zh-CN"/>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List Paragraph"/>
    <w:basedOn w:val="1"/>
    <w:qFormat/>
    <w:uiPriority w:val="34"/>
    <w:pPr>
      <w:ind w:firstLine="420" w:firstLineChars="200"/>
    </w:pPr>
  </w:style>
  <w:style w:type="character" w:customStyle="1" w:styleId="10">
    <w:name w:val="页眉 字符"/>
    <w:basedOn w:val="8"/>
    <w:link w:val="5"/>
    <w:qFormat/>
    <w:uiPriority w:val="0"/>
    <w:rPr>
      <w:rFonts w:ascii="Times New Roman" w:hAnsi="Times New Roman" w:eastAsia="宋体"/>
      <w:kern w:val="2"/>
      <w:sz w:val="18"/>
      <w:szCs w:val="18"/>
    </w:rPr>
  </w:style>
  <w:style w:type="character" w:customStyle="1" w:styleId="11">
    <w:name w:val="页脚 字符"/>
    <w:basedOn w:val="8"/>
    <w:link w:val="4"/>
    <w:qFormat/>
    <w:uiPriority w:val="0"/>
    <w:rPr>
      <w:rFonts w:ascii="Times New Roman" w:hAnsi="Times New Roman" w:eastAsia="宋体"/>
      <w:kern w:val="2"/>
      <w:sz w:val="18"/>
      <w:szCs w:val="18"/>
    </w:rPr>
  </w:style>
  <w:style w:type="character" w:customStyle="1" w:styleId="12">
    <w:name w:val="正文文本 字符"/>
    <w:basedOn w:val="8"/>
    <w:link w:val="3"/>
    <w:qFormat/>
    <w:uiPriority w:val="1"/>
    <w:rPr>
      <w:rFonts w:ascii="宋体" w:hAnsi="宋体" w:eastAsia="宋体" w:cs="宋体"/>
      <w:kern w:val="2"/>
      <w:sz w:val="32"/>
      <w:szCs w:val="3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3635</Words>
  <Characters>3858</Characters>
  <Lines>18</Lines>
  <Paragraphs>5</Paragraphs>
  <TotalTime>7</TotalTime>
  <ScaleCrop>false</ScaleCrop>
  <LinksUpToDate>false</LinksUpToDate>
  <CharactersWithSpaces>3880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2020-02-10T03:04:00Z</dcterms:created>
  <dc:creator>婉清</dc:creator>
  <cp:lastModifiedBy>lenovo</cp:lastModifiedBy>
  <cp:lastPrinted>2023-06-08T05:58:00Z</cp:lastPrinted>
  <dcterms:modified xsi:type="dcterms:W3CDTF">2023-06-13T04:09:18Z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C8F6D64D2A1B48CDB795966E20EA283F</vt:lpwstr>
  </property>
</Properties>
</file>