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28"/>
          <w:szCs w:val="28"/>
        </w:rPr>
      </w:pPr>
    </w:p>
    <w:p>
      <w:pPr>
        <w:jc w:val="center"/>
        <w:rPr>
          <w:rFonts w:hint="eastAsia"/>
          <w:b/>
          <w:bCs/>
          <w:sz w:val="28"/>
          <w:szCs w:val="28"/>
        </w:rPr>
      </w:pPr>
    </w:p>
    <w:p>
      <w:pPr>
        <w:jc w:val="center"/>
        <w:rPr>
          <w:rFonts w:hint="eastAsia"/>
          <w:b/>
          <w:bCs/>
          <w:sz w:val="28"/>
          <w:szCs w:val="28"/>
        </w:rPr>
      </w:pPr>
    </w:p>
    <w:p>
      <w:pPr>
        <w:jc w:val="center"/>
        <w:rPr>
          <w:rFonts w:hint="eastAsia"/>
          <w:b/>
          <w:bCs/>
          <w:sz w:val="28"/>
          <w:szCs w:val="28"/>
        </w:rPr>
      </w:pPr>
    </w:p>
    <w:p>
      <w:pPr>
        <w:jc w:val="center"/>
        <w:rPr>
          <w:rFonts w:hint="eastAsia"/>
          <w:b/>
          <w:bCs/>
          <w:sz w:val="28"/>
          <w:szCs w:val="28"/>
        </w:rPr>
      </w:pPr>
    </w:p>
    <w:p>
      <w:pPr>
        <w:jc w:val="center"/>
        <w:rPr>
          <w:rFonts w:hint="eastAsia"/>
          <w:b/>
          <w:bCs/>
          <w:sz w:val="28"/>
          <w:szCs w:val="28"/>
        </w:rPr>
      </w:pPr>
    </w:p>
    <w:p>
      <w:pPr>
        <w:jc w:val="center"/>
        <w:rPr>
          <w:rFonts w:hint="eastAsia"/>
          <w:b/>
          <w:bCs/>
          <w:sz w:val="28"/>
          <w:szCs w:val="28"/>
        </w:rPr>
      </w:pPr>
    </w:p>
    <w:p>
      <w:pPr>
        <w:jc w:val="center"/>
        <w:rPr>
          <w:rFonts w:hint="eastAsia"/>
          <w:b/>
          <w:bCs/>
          <w:sz w:val="28"/>
          <w:szCs w:val="28"/>
        </w:rPr>
      </w:pPr>
    </w:p>
    <w:p>
      <w:pPr>
        <w:jc w:val="center"/>
        <w:rPr>
          <w:rFonts w:hint="eastAsia"/>
          <w:b/>
          <w:bCs/>
          <w:sz w:val="28"/>
          <w:szCs w:val="28"/>
        </w:rPr>
      </w:pPr>
    </w:p>
    <w:p>
      <w:pPr>
        <w:jc w:val="center"/>
        <w:rPr>
          <w:rFonts w:hint="eastAsia"/>
          <w:sz w:val="28"/>
          <w:szCs w:val="28"/>
        </w:rPr>
      </w:pPr>
      <w:r>
        <w:rPr>
          <w:rFonts w:hint="eastAsia"/>
          <w:b/>
          <w:bCs/>
          <w:sz w:val="48"/>
          <w:szCs w:val="48"/>
        </w:rPr>
        <w:t>辽宁省沈阳市康平县教育</w:t>
      </w:r>
      <w:r>
        <w:rPr>
          <w:rFonts w:hint="eastAsia"/>
          <w:b/>
          <w:bCs/>
          <w:sz w:val="48"/>
          <w:szCs w:val="48"/>
          <w:lang w:eastAsia="zh-CN"/>
        </w:rPr>
        <w:t>研究</w:t>
      </w:r>
      <w:r>
        <w:rPr>
          <w:rFonts w:hint="eastAsia"/>
          <w:b/>
          <w:bCs/>
          <w:sz w:val="48"/>
          <w:szCs w:val="48"/>
        </w:rPr>
        <w:t>中心202</w:t>
      </w:r>
      <w:r>
        <w:rPr>
          <w:rFonts w:hint="eastAsia"/>
          <w:b/>
          <w:bCs/>
          <w:sz w:val="48"/>
          <w:szCs w:val="48"/>
          <w:lang w:val="en-US" w:eastAsia="zh-CN"/>
        </w:rPr>
        <w:t>2</w:t>
      </w:r>
      <w:r>
        <w:rPr>
          <w:rFonts w:hint="eastAsia"/>
          <w:b/>
          <w:bCs/>
          <w:sz w:val="48"/>
          <w:szCs w:val="48"/>
        </w:rPr>
        <w:t>年预算公开说明</w:t>
      </w: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jc w:val="left"/>
        <w:rPr>
          <w:rFonts w:hint="eastAsia"/>
          <w:b/>
          <w:sz w:val="44"/>
          <w:szCs w:val="44"/>
        </w:rPr>
      </w:pPr>
      <w:r>
        <w:rPr>
          <w:rFonts w:hint="eastAsia"/>
          <w:b/>
          <w:sz w:val="44"/>
          <w:szCs w:val="44"/>
        </w:rPr>
        <w:t>目录</w:t>
      </w:r>
    </w:p>
    <w:p>
      <w:pPr>
        <w:rPr>
          <w:rFonts w:asciiTheme="minorEastAsia" w:hAnsiTheme="minorEastAsia" w:eastAsiaTheme="minorEastAsia"/>
          <w:sz w:val="32"/>
          <w:szCs w:val="32"/>
        </w:rPr>
      </w:pPr>
      <w:r>
        <w:rPr>
          <w:rFonts w:hint="eastAsia"/>
          <w:b/>
          <w:sz w:val="32"/>
          <w:szCs w:val="32"/>
        </w:rPr>
        <w:t>第一部分　　</w:t>
      </w:r>
      <w:r>
        <w:rPr>
          <w:rFonts w:hint="eastAsia" w:asciiTheme="minorEastAsia" w:hAnsiTheme="minorEastAsia" w:eastAsiaTheme="minorEastAsia"/>
          <w:sz w:val="32"/>
          <w:szCs w:val="32"/>
        </w:rPr>
        <w:t>部门主要职责及机构设置情况</w:t>
      </w:r>
    </w:p>
    <w:p>
      <w:pPr>
        <w:rPr>
          <w:rFonts w:hint="eastAsia"/>
          <w:sz w:val="32"/>
          <w:szCs w:val="32"/>
        </w:rPr>
      </w:pPr>
      <w:r>
        <w:rPr>
          <w:rFonts w:hint="eastAsia"/>
          <w:b/>
          <w:sz w:val="32"/>
          <w:szCs w:val="32"/>
        </w:rPr>
        <w:t>第二部分　　</w:t>
      </w:r>
      <w:r>
        <w:rPr>
          <w:rFonts w:hint="eastAsia" w:asciiTheme="minorEastAsia" w:hAnsiTheme="minorEastAsia" w:eastAsiaTheme="minorEastAsia"/>
          <w:sz w:val="32"/>
          <w:szCs w:val="32"/>
        </w:rPr>
        <w:t>康平县教育</w:t>
      </w:r>
      <w:r>
        <w:rPr>
          <w:rFonts w:hint="eastAsia" w:asciiTheme="minorEastAsia" w:hAnsiTheme="minorEastAsia" w:eastAsiaTheme="minorEastAsia"/>
          <w:sz w:val="32"/>
          <w:szCs w:val="32"/>
          <w:lang w:eastAsia="zh-CN"/>
        </w:rPr>
        <w:t>研究</w:t>
      </w:r>
      <w:r>
        <w:rPr>
          <w:rFonts w:hint="eastAsia" w:asciiTheme="minorEastAsia" w:hAnsiTheme="minorEastAsia" w:eastAsiaTheme="minorEastAsia"/>
          <w:sz w:val="32"/>
          <w:szCs w:val="32"/>
        </w:rPr>
        <w:t>中心2022年单位预算</w:t>
      </w:r>
    </w:p>
    <w:p>
      <w:pPr>
        <w:jc w:val="left"/>
        <w:rPr>
          <w:rFonts w:hint="eastAsia"/>
          <w:sz w:val="32"/>
          <w:szCs w:val="32"/>
        </w:rPr>
      </w:pPr>
      <w:r>
        <w:rPr>
          <w:rFonts w:hint="eastAsia"/>
          <w:sz w:val="32"/>
          <w:szCs w:val="32"/>
        </w:rPr>
        <w:t>公开表</w:t>
      </w:r>
    </w:p>
    <w:p>
      <w:pPr>
        <w:jc w:val="left"/>
        <w:rPr>
          <w:rFonts w:hint="eastAsia" w:ascii="仿宋_GB2312" w:eastAsia="仿宋_GB2312"/>
          <w:b/>
          <w:sz w:val="32"/>
          <w:szCs w:val="32"/>
        </w:rPr>
      </w:pPr>
      <w:r>
        <w:rPr>
          <w:rFonts w:hint="eastAsia" w:ascii="仿宋_GB2312" w:eastAsia="仿宋_GB2312"/>
          <w:b/>
          <w:sz w:val="32"/>
          <w:szCs w:val="32"/>
        </w:rPr>
        <w:t>表１.收支预算总表</w:t>
      </w:r>
    </w:p>
    <w:p>
      <w:pPr>
        <w:jc w:val="left"/>
        <w:rPr>
          <w:rFonts w:hint="eastAsia" w:ascii="仿宋_GB2312" w:eastAsia="仿宋_GB2312"/>
          <w:b/>
          <w:sz w:val="32"/>
          <w:szCs w:val="32"/>
        </w:rPr>
      </w:pPr>
      <w:r>
        <w:rPr>
          <w:rFonts w:hint="eastAsia" w:ascii="仿宋_GB2312" w:eastAsia="仿宋_GB2312"/>
          <w:b/>
          <w:sz w:val="32"/>
          <w:szCs w:val="32"/>
        </w:rPr>
        <w:t>表２.收入预算总表</w:t>
      </w:r>
    </w:p>
    <w:p>
      <w:pPr>
        <w:jc w:val="left"/>
        <w:rPr>
          <w:rFonts w:hint="eastAsia" w:ascii="仿宋_GB2312" w:eastAsia="仿宋_GB2312"/>
          <w:b/>
          <w:sz w:val="32"/>
          <w:szCs w:val="32"/>
        </w:rPr>
      </w:pPr>
      <w:r>
        <w:rPr>
          <w:rFonts w:hint="eastAsia" w:ascii="仿宋_GB2312" w:eastAsia="仿宋_GB2312"/>
          <w:b/>
          <w:sz w:val="32"/>
          <w:szCs w:val="32"/>
        </w:rPr>
        <w:t>表３.支出预算总表</w:t>
      </w:r>
    </w:p>
    <w:p>
      <w:pPr>
        <w:jc w:val="left"/>
        <w:rPr>
          <w:rFonts w:hint="eastAsia" w:ascii="仿宋_GB2312" w:eastAsia="仿宋_GB2312"/>
          <w:b/>
          <w:sz w:val="32"/>
          <w:szCs w:val="32"/>
        </w:rPr>
      </w:pPr>
      <w:r>
        <w:rPr>
          <w:rFonts w:hint="eastAsia" w:ascii="仿宋_GB2312" w:eastAsia="仿宋_GB2312"/>
          <w:b/>
          <w:sz w:val="32"/>
          <w:szCs w:val="32"/>
        </w:rPr>
        <w:t>表４.财政拨款收支预算总表</w:t>
      </w:r>
    </w:p>
    <w:p>
      <w:pPr>
        <w:jc w:val="left"/>
        <w:rPr>
          <w:rFonts w:hint="eastAsia" w:ascii="仿宋_GB2312" w:eastAsia="仿宋_GB2312"/>
          <w:b/>
          <w:sz w:val="32"/>
          <w:szCs w:val="32"/>
        </w:rPr>
      </w:pPr>
      <w:r>
        <w:rPr>
          <w:rFonts w:hint="eastAsia" w:ascii="仿宋_GB2312" w:eastAsia="仿宋_GB2312"/>
          <w:b/>
          <w:sz w:val="32"/>
          <w:szCs w:val="32"/>
        </w:rPr>
        <w:t>表５.一般公共预算支出表</w:t>
      </w:r>
    </w:p>
    <w:p>
      <w:pPr>
        <w:jc w:val="left"/>
        <w:rPr>
          <w:rFonts w:hint="eastAsia" w:ascii="仿宋_GB2312" w:eastAsia="仿宋_GB2312"/>
          <w:b/>
          <w:sz w:val="32"/>
          <w:szCs w:val="32"/>
        </w:rPr>
      </w:pPr>
      <w:r>
        <w:rPr>
          <w:rFonts w:hint="eastAsia" w:ascii="仿宋_GB2312" w:eastAsia="仿宋_GB2312"/>
          <w:b/>
          <w:sz w:val="32"/>
          <w:szCs w:val="32"/>
        </w:rPr>
        <w:t>表６.一般公共预算基本支出表</w:t>
      </w:r>
    </w:p>
    <w:p>
      <w:pPr>
        <w:jc w:val="left"/>
        <w:rPr>
          <w:rFonts w:hint="eastAsia" w:ascii="仿宋_GB2312" w:eastAsia="仿宋_GB2312"/>
          <w:b/>
          <w:sz w:val="32"/>
          <w:szCs w:val="32"/>
        </w:rPr>
      </w:pPr>
      <w:r>
        <w:rPr>
          <w:rFonts w:hint="eastAsia" w:ascii="仿宋_GB2312" w:eastAsia="仿宋_GB2312"/>
          <w:b/>
          <w:sz w:val="32"/>
          <w:szCs w:val="32"/>
        </w:rPr>
        <w:t>表７.一般公共预算“三公”经费支出表</w:t>
      </w:r>
    </w:p>
    <w:p>
      <w:pPr>
        <w:jc w:val="left"/>
        <w:rPr>
          <w:rFonts w:hint="eastAsia" w:ascii="仿宋_GB2312" w:eastAsia="仿宋_GB2312"/>
          <w:b/>
          <w:sz w:val="32"/>
          <w:szCs w:val="32"/>
        </w:rPr>
      </w:pPr>
      <w:r>
        <w:rPr>
          <w:rFonts w:hint="eastAsia" w:ascii="仿宋_GB2312" w:eastAsia="仿宋_GB2312"/>
          <w:b/>
          <w:sz w:val="32"/>
          <w:szCs w:val="32"/>
        </w:rPr>
        <w:t>表８.政府性基金预算支出表</w:t>
      </w:r>
    </w:p>
    <w:p>
      <w:pPr>
        <w:jc w:val="left"/>
        <w:rPr>
          <w:rFonts w:hint="eastAsia" w:ascii="仿宋_GB2312" w:eastAsia="仿宋_GB2312"/>
          <w:b/>
          <w:sz w:val="32"/>
          <w:szCs w:val="32"/>
        </w:rPr>
      </w:pPr>
      <w:r>
        <w:rPr>
          <w:rFonts w:hint="eastAsia" w:ascii="仿宋_GB2312" w:eastAsia="仿宋_GB2312"/>
          <w:b/>
          <w:sz w:val="32"/>
          <w:szCs w:val="32"/>
        </w:rPr>
        <w:t>表９.项目支出预算表</w:t>
      </w:r>
    </w:p>
    <w:p>
      <w:pPr>
        <w:jc w:val="left"/>
        <w:rPr>
          <w:rFonts w:hint="eastAsia" w:ascii="仿宋_GB2312" w:eastAsia="仿宋_GB2312"/>
          <w:b/>
          <w:sz w:val="32"/>
          <w:szCs w:val="32"/>
        </w:rPr>
      </w:pPr>
      <w:r>
        <w:rPr>
          <w:rFonts w:hint="eastAsia" w:ascii="仿宋_GB2312" w:eastAsia="仿宋_GB2312"/>
          <w:b/>
          <w:sz w:val="32"/>
          <w:szCs w:val="32"/>
        </w:rPr>
        <w:t>表10.支出功能分类预算表</w:t>
      </w:r>
    </w:p>
    <w:p>
      <w:pPr>
        <w:jc w:val="left"/>
        <w:rPr>
          <w:rFonts w:hint="eastAsia" w:ascii="仿宋_GB2312" w:eastAsia="仿宋_GB2312"/>
          <w:b/>
          <w:sz w:val="32"/>
          <w:szCs w:val="32"/>
        </w:rPr>
      </w:pPr>
      <w:r>
        <w:rPr>
          <w:rFonts w:hint="eastAsia" w:ascii="仿宋_GB2312" w:eastAsia="仿宋_GB2312"/>
          <w:b/>
          <w:sz w:val="32"/>
          <w:szCs w:val="32"/>
        </w:rPr>
        <w:t>表11.支出经济分类预算表</w:t>
      </w:r>
    </w:p>
    <w:p>
      <w:pPr>
        <w:jc w:val="left"/>
        <w:rPr>
          <w:rFonts w:hint="eastAsia" w:ascii="仿宋_GB2312" w:eastAsia="仿宋_GB2312"/>
          <w:b/>
          <w:sz w:val="32"/>
          <w:szCs w:val="32"/>
        </w:rPr>
      </w:pPr>
      <w:r>
        <w:rPr>
          <w:rFonts w:hint="eastAsia" w:ascii="仿宋_GB2312" w:eastAsia="仿宋_GB2312"/>
          <w:b/>
          <w:sz w:val="32"/>
          <w:szCs w:val="32"/>
        </w:rPr>
        <w:t>表12.支出经济分类预算表</w:t>
      </w:r>
    </w:p>
    <w:p>
      <w:pPr>
        <w:jc w:val="left"/>
        <w:rPr>
          <w:rFonts w:hint="eastAsia" w:ascii="仿宋_GB2312" w:eastAsia="仿宋_GB2312"/>
          <w:b/>
          <w:sz w:val="32"/>
          <w:szCs w:val="32"/>
        </w:rPr>
      </w:pPr>
      <w:r>
        <w:rPr>
          <w:rFonts w:hint="eastAsia" w:ascii="仿宋_GB2312" w:eastAsia="仿宋_GB2312"/>
          <w:b/>
          <w:sz w:val="32"/>
          <w:szCs w:val="32"/>
        </w:rPr>
        <w:t>表13.债务支出预算表</w:t>
      </w:r>
    </w:p>
    <w:p>
      <w:pPr>
        <w:jc w:val="left"/>
        <w:rPr>
          <w:rFonts w:hint="eastAsia" w:ascii="仿宋_GB2312" w:eastAsia="仿宋_GB2312"/>
          <w:b/>
          <w:sz w:val="32"/>
          <w:szCs w:val="32"/>
        </w:rPr>
      </w:pPr>
      <w:r>
        <w:rPr>
          <w:rFonts w:hint="eastAsia" w:ascii="仿宋_GB2312" w:eastAsia="仿宋_GB2312"/>
          <w:b/>
          <w:sz w:val="32"/>
          <w:szCs w:val="32"/>
        </w:rPr>
        <w:t>表14.政府采购支出预算表</w:t>
      </w:r>
    </w:p>
    <w:p>
      <w:pPr>
        <w:jc w:val="left"/>
        <w:rPr>
          <w:rFonts w:hint="eastAsia" w:ascii="仿宋_GB2312" w:eastAsia="仿宋_GB2312"/>
          <w:b/>
          <w:sz w:val="32"/>
          <w:szCs w:val="32"/>
        </w:rPr>
      </w:pPr>
      <w:r>
        <w:rPr>
          <w:rFonts w:hint="eastAsia" w:ascii="仿宋_GB2312" w:eastAsia="仿宋_GB2312"/>
          <w:b/>
          <w:sz w:val="32"/>
          <w:szCs w:val="32"/>
        </w:rPr>
        <w:t>表15.政府购买服务支出预算表</w:t>
      </w:r>
    </w:p>
    <w:p>
      <w:pPr>
        <w:jc w:val="left"/>
        <w:rPr>
          <w:rFonts w:hint="eastAsia" w:ascii="仿宋_GB2312" w:eastAsia="仿宋_GB2312"/>
          <w:b/>
          <w:sz w:val="32"/>
          <w:szCs w:val="32"/>
        </w:rPr>
      </w:pPr>
      <w:r>
        <w:rPr>
          <w:rFonts w:hint="eastAsia" w:ascii="仿宋_GB2312" w:eastAsia="仿宋_GB2312"/>
          <w:b/>
          <w:sz w:val="32"/>
          <w:szCs w:val="32"/>
        </w:rPr>
        <w:t>表16.部门（单位）整体绩效目标表</w:t>
      </w:r>
    </w:p>
    <w:p>
      <w:pPr>
        <w:jc w:val="left"/>
        <w:rPr>
          <w:rFonts w:hint="eastAsia" w:ascii="仿宋_GB2312" w:eastAsia="仿宋_GB2312"/>
          <w:b/>
          <w:sz w:val="32"/>
          <w:szCs w:val="32"/>
        </w:rPr>
      </w:pPr>
      <w:r>
        <w:rPr>
          <w:rFonts w:hint="eastAsia" w:ascii="仿宋_GB2312" w:eastAsia="仿宋_GB2312"/>
          <w:b/>
          <w:sz w:val="32"/>
          <w:szCs w:val="32"/>
        </w:rPr>
        <w:t>表17.部门预算项目（政策）绩效目标表</w:t>
      </w:r>
    </w:p>
    <w:p>
      <w:pPr>
        <w:rPr>
          <w:rFonts w:hint="eastAsia" w:ascii="仿宋" w:hAnsi="仿宋" w:eastAsia="仿宋" w:cs="仿宋"/>
          <w:sz w:val="32"/>
          <w:szCs w:val="32"/>
        </w:rPr>
      </w:pPr>
    </w:p>
    <w:p>
      <w:pPr>
        <w:rPr>
          <w:rFonts w:hint="eastAsia" w:ascii="仿宋" w:hAnsi="仿宋" w:eastAsia="仿宋" w:cs="仿宋"/>
          <w:b/>
          <w:bCs/>
          <w:sz w:val="32"/>
          <w:szCs w:val="32"/>
        </w:rPr>
      </w:pPr>
      <w:r>
        <w:rPr>
          <w:rFonts w:hint="eastAsia" w:ascii="仿宋" w:hAnsi="仿宋" w:eastAsia="仿宋" w:cs="仿宋"/>
          <w:b/>
          <w:bCs/>
          <w:sz w:val="32"/>
          <w:szCs w:val="32"/>
        </w:rPr>
        <w:t>一、部门主要职责及机构设置情况</w:t>
      </w:r>
    </w:p>
    <w:p>
      <w:pPr>
        <w:rPr>
          <w:rFonts w:hint="eastAsia" w:ascii="仿宋" w:hAnsi="仿宋" w:eastAsia="仿宋" w:cs="仿宋"/>
          <w:b/>
          <w:bCs/>
          <w:sz w:val="32"/>
          <w:szCs w:val="32"/>
        </w:rPr>
      </w:pPr>
    </w:p>
    <w:p>
      <w:pPr>
        <w:rPr>
          <w:rFonts w:hint="eastAsia" w:ascii="仿宋" w:hAnsi="仿宋" w:eastAsia="仿宋" w:cs="仿宋"/>
          <w:sz w:val="32"/>
          <w:szCs w:val="32"/>
        </w:rPr>
      </w:pPr>
      <w:r>
        <w:rPr>
          <w:rFonts w:hint="eastAsia" w:ascii="仿宋" w:hAnsi="仿宋" w:eastAsia="仿宋" w:cs="仿宋"/>
          <w:sz w:val="32"/>
          <w:szCs w:val="32"/>
        </w:rPr>
        <w:t>主要职能：全县教师培训和各项考试工作。我校为独立编制机构。我单位年初教职工总数为</w:t>
      </w:r>
      <w:r>
        <w:rPr>
          <w:rFonts w:hint="eastAsia" w:ascii="仿宋" w:hAnsi="仿宋" w:eastAsia="仿宋" w:cs="仿宋"/>
          <w:sz w:val="32"/>
          <w:szCs w:val="32"/>
          <w:lang w:val="en-US" w:eastAsia="zh-CN"/>
        </w:rPr>
        <w:t>209</w:t>
      </w:r>
      <w:r>
        <w:rPr>
          <w:rFonts w:hint="eastAsia" w:ascii="仿宋" w:hAnsi="仿宋" w:eastAsia="仿宋" w:cs="仿宋"/>
          <w:sz w:val="32"/>
          <w:szCs w:val="32"/>
        </w:rPr>
        <w:t>人，在职教师</w:t>
      </w:r>
      <w:r>
        <w:rPr>
          <w:rFonts w:hint="eastAsia" w:ascii="仿宋" w:hAnsi="仿宋" w:eastAsia="仿宋" w:cs="仿宋"/>
          <w:sz w:val="32"/>
          <w:szCs w:val="32"/>
          <w:lang w:val="en-US" w:eastAsia="zh-CN"/>
        </w:rPr>
        <w:t>123</w:t>
      </w:r>
      <w:r>
        <w:rPr>
          <w:rFonts w:hint="eastAsia" w:ascii="仿宋" w:hAnsi="仿宋" w:eastAsia="仿宋" w:cs="仿宋"/>
          <w:sz w:val="32"/>
          <w:szCs w:val="32"/>
        </w:rPr>
        <w:t>人，离休教师0人，退休</w:t>
      </w:r>
      <w:r>
        <w:rPr>
          <w:rFonts w:hint="eastAsia" w:ascii="仿宋" w:hAnsi="仿宋" w:eastAsia="仿宋" w:cs="仿宋"/>
          <w:sz w:val="32"/>
          <w:szCs w:val="32"/>
          <w:lang w:val="en-US" w:eastAsia="zh-CN"/>
        </w:rPr>
        <w:t>86</w:t>
      </w:r>
      <w:r>
        <w:rPr>
          <w:rFonts w:hint="eastAsia" w:ascii="仿宋" w:hAnsi="仿宋" w:eastAsia="仿宋" w:cs="仿宋"/>
          <w:sz w:val="32"/>
          <w:szCs w:val="32"/>
        </w:rPr>
        <w:t>人。遗属</w:t>
      </w:r>
      <w:r>
        <w:rPr>
          <w:rFonts w:hint="eastAsia" w:ascii="仿宋" w:hAnsi="仿宋" w:eastAsia="仿宋" w:cs="仿宋"/>
          <w:sz w:val="32"/>
          <w:szCs w:val="32"/>
          <w:lang w:val="en-US" w:eastAsia="zh-CN"/>
        </w:rPr>
        <w:t>8</w:t>
      </w:r>
      <w:r>
        <w:rPr>
          <w:rFonts w:hint="eastAsia" w:ascii="仿宋" w:hAnsi="仿宋" w:eastAsia="仿宋" w:cs="仿宋"/>
          <w:sz w:val="32"/>
          <w:szCs w:val="32"/>
        </w:rPr>
        <w:t>人。</w:t>
      </w:r>
    </w:p>
    <w:p>
      <w:pPr>
        <w:rPr>
          <w:rFonts w:hint="eastAsia" w:ascii="仿宋" w:hAnsi="仿宋" w:eastAsia="仿宋" w:cs="仿宋"/>
          <w:sz w:val="32"/>
          <w:szCs w:val="32"/>
        </w:rPr>
      </w:pPr>
    </w:p>
    <w:p>
      <w:pPr>
        <w:rPr>
          <w:rFonts w:hint="eastAsia" w:ascii="仿宋" w:hAnsi="仿宋" w:eastAsia="仿宋" w:cs="仿宋"/>
          <w:b/>
          <w:bCs/>
          <w:sz w:val="32"/>
          <w:szCs w:val="32"/>
        </w:rPr>
      </w:pPr>
      <w:r>
        <w:rPr>
          <w:rFonts w:hint="eastAsia" w:ascii="仿宋" w:hAnsi="仿宋" w:eastAsia="仿宋" w:cs="仿宋"/>
          <w:b/>
          <w:bCs/>
          <w:sz w:val="32"/>
          <w:szCs w:val="32"/>
        </w:rPr>
        <w:t>二、预算收支增减变化情况</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我单位各项经费均为财政拨款，无其他收入，财政各项拨款均及时拨付，基本能保证本单位工作正常运转，各项支出均按财政要求比重支出。</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1、2021年预算收入为1858.4万元，预算支出为1858.4万元，202</w:t>
      </w:r>
      <w:r>
        <w:rPr>
          <w:rFonts w:hint="eastAsia" w:ascii="仿宋" w:hAnsi="仿宋" w:eastAsia="仿宋" w:cs="仿宋"/>
          <w:sz w:val="32"/>
          <w:szCs w:val="32"/>
          <w:lang w:val="en-US" w:eastAsia="zh-CN"/>
        </w:rPr>
        <w:t>2</w:t>
      </w:r>
      <w:r>
        <w:rPr>
          <w:rFonts w:hint="eastAsia" w:ascii="仿宋" w:hAnsi="仿宋" w:eastAsia="仿宋" w:cs="仿宋"/>
          <w:sz w:val="32"/>
          <w:szCs w:val="32"/>
        </w:rPr>
        <w:t xml:space="preserve">年预算收入为 </w:t>
      </w:r>
      <w:r>
        <w:rPr>
          <w:rFonts w:hint="eastAsia" w:ascii="仿宋" w:hAnsi="仿宋" w:eastAsia="仿宋" w:cs="仿宋"/>
          <w:sz w:val="32"/>
          <w:szCs w:val="32"/>
          <w:lang w:val="en-US" w:eastAsia="zh-CN"/>
        </w:rPr>
        <w:t>1883.27</w:t>
      </w:r>
      <w:r>
        <w:rPr>
          <w:rFonts w:hint="eastAsia" w:ascii="仿宋" w:hAnsi="仿宋" w:eastAsia="仿宋" w:cs="仿宋"/>
          <w:sz w:val="32"/>
          <w:szCs w:val="32"/>
        </w:rPr>
        <w:t xml:space="preserve">万元，预算支出为 </w:t>
      </w:r>
      <w:r>
        <w:rPr>
          <w:rFonts w:hint="eastAsia" w:ascii="仿宋" w:hAnsi="仿宋" w:eastAsia="仿宋" w:cs="仿宋"/>
          <w:sz w:val="32"/>
          <w:szCs w:val="32"/>
          <w:lang w:val="en-US" w:eastAsia="zh-CN"/>
        </w:rPr>
        <w:t>1883.27</w:t>
      </w:r>
      <w:r>
        <w:rPr>
          <w:rFonts w:hint="eastAsia" w:ascii="仿宋" w:hAnsi="仿宋" w:eastAsia="仿宋" w:cs="仿宋"/>
          <w:sz w:val="32"/>
          <w:szCs w:val="32"/>
        </w:rPr>
        <w:t>万元；202</w:t>
      </w:r>
      <w:r>
        <w:rPr>
          <w:rFonts w:hint="eastAsia" w:ascii="仿宋" w:hAnsi="仿宋" w:eastAsia="仿宋" w:cs="仿宋"/>
          <w:sz w:val="32"/>
          <w:szCs w:val="32"/>
          <w:lang w:val="en-US" w:eastAsia="zh-CN"/>
        </w:rPr>
        <w:t>2</w:t>
      </w:r>
      <w:r>
        <w:rPr>
          <w:rFonts w:hint="eastAsia" w:ascii="仿宋" w:hAnsi="仿宋" w:eastAsia="仿宋" w:cs="仿宋"/>
          <w:sz w:val="32"/>
          <w:szCs w:val="32"/>
        </w:rPr>
        <w:t>年与2021年预算收支相比增加了</w:t>
      </w:r>
      <w:r>
        <w:rPr>
          <w:rFonts w:hint="eastAsia" w:ascii="仿宋" w:hAnsi="仿宋" w:eastAsia="仿宋" w:cs="仿宋"/>
          <w:sz w:val="32"/>
          <w:szCs w:val="32"/>
          <w:lang w:val="en-US" w:eastAsia="zh-CN"/>
        </w:rPr>
        <w:t>24.87</w:t>
      </w:r>
      <w:r>
        <w:rPr>
          <w:rFonts w:hint="eastAsia" w:ascii="仿宋" w:hAnsi="仿宋" w:eastAsia="仿宋" w:cs="仿宋"/>
          <w:sz w:val="32"/>
          <w:szCs w:val="32"/>
        </w:rPr>
        <w:t>万元，增加了1.</w:t>
      </w:r>
      <w:r>
        <w:rPr>
          <w:rFonts w:hint="eastAsia" w:ascii="仿宋" w:hAnsi="仿宋" w:eastAsia="仿宋" w:cs="仿宋"/>
          <w:sz w:val="32"/>
          <w:szCs w:val="32"/>
          <w:lang w:val="en-US" w:eastAsia="zh-CN"/>
        </w:rPr>
        <w:t>3</w:t>
      </w:r>
      <w:r>
        <w:rPr>
          <w:rFonts w:hint="eastAsia" w:ascii="仿宋" w:hAnsi="仿宋" w:eastAsia="仿宋" w:cs="仿宋"/>
          <w:sz w:val="32"/>
          <w:szCs w:val="32"/>
        </w:rPr>
        <w:t xml:space="preserve">%。   </w:t>
      </w:r>
    </w:p>
    <w:p>
      <w:pPr>
        <w:pStyle w:val="4"/>
        <w:spacing w:before="0" w:beforeAutospacing="0" w:after="0" w:afterAutospacing="0"/>
        <w:ind w:firstLine="640" w:firstLineChars="200"/>
        <w:rPr>
          <w:rFonts w:hint="eastAsia" w:ascii="仿宋_GB2312" w:hAnsi="仿宋" w:eastAsia="仿宋_GB2312" w:cs="仿宋"/>
          <w:b/>
          <w:sz w:val="32"/>
          <w:szCs w:val="32"/>
          <w:lang w:eastAsia="zh-CN"/>
        </w:rPr>
      </w:pPr>
      <w:r>
        <w:rPr>
          <w:rFonts w:hint="eastAsia" w:ascii="仿宋" w:hAnsi="仿宋" w:eastAsia="仿宋" w:cs="仿宋"/>
          <w:sz w:val="32"/>
          <w:szCs w:val="32"/>
          <w:lang w:val="en-US" w:eastAsia="zh-CN"/>
        </w:rPr>
        <w:t xml:space="preserve"> </w:t>
      </w:r>
      <w:r>
        <w:rPr>
          <w:rFonts w:hint="eastAsia" w:ascii="仿宋_GB2312" w:hAnsi="仿宋" w:eastAsia="仿宋_GB2312" w:cs="仿宋"/>
          <w:b/>
          <w:sz w:val="32"/>
          <w:szCs w:val="32"/>
        </w:rPr>
        <w:t>20</w:t>
      </w:r>
      <w:r>
        <w:rPr>
          <w:rFonts w:hint="eastAsia" w:ascii="仿宋_GB2312" w:hAnsi="仿宋" w:eastAsia="仿宋_GB2312" w:cs="仿宋"/>
          <w:b/>
          <w:sz w:val="32"/>
          <w:szCs w:val="32"/>
          <w:lang w:val="en-US" w:eastAsia="zh-CN"/>
        </w:rPr>
        <w:t>22</w:t>
      </w:r>
      <w:r>
        <w:rPr>
          <w:rFonts w:hint="eastAsia" w:ascii="仿宋_GB2312" w:hAnsi="仿宋" w:eastAsia="仿宋_GB2312" w:cs="仿宋"/>
          <w:b/>
          <w:sz w:val="32"/>
          <w:szCs w:val="32"/>
        </w:rPr>
        <w:t>年比20</w:t>
      </w:r>
      <w:r>
        <w:rPr>
          <w:rFonts w:hint="eastAsia" w:ascii="仿宋_GB2312" w:hAnsi="仿宋" w:eastAsia="仿宋_GB2312" w:cs="仿宋"/>
          <w:b/>
          <w:sz w:val="32"/>
          <w:szCs w:val="32"/>
          <w:lang w:val="en-US" w:eastAsia="zh-CN"/>
        </w:rPr>
        <w:t>21</w:t>
      </w:r>
      <w:r>
        <w:rPr>
          <w:rFonts w:hint="eastAsia" w:ascii="仿宋_GB2312" w:hAnsi="仿宋" w:eastAsia="仿宋_GB2312" w:cs="仿宋"/>
          <w:b/>
          <w:sz w:val="32"/>
          <w:szCs w:val="32"/>
        </w:rPr>
        <w:t>年收入</w:t>
      </w:r>
      <w:r>
        <w:rPr>
          <w:rFonts w:hint="eastAsia" w:ascii="仿宋_GB2312" w:hAnsi="仿宋" w:eastAsia="仿宋_GB2312" w:cs="仿宋"/>
          <w:b/>
          <w:sz w:val="32"/>
          <w:szCs w:val="32"/>
          <w:lang w:val="en-US" w:eastAsia="zh-CN"/>
        </w:rPr>
        <w:t>增加24.87</w:t>
      </w:r>
      <w:r>
        <w:rPr>
          <w:rFonts w:hint="eastAsia" w:ascii="仿宋_GB2312" w:hAnsi="仿宋" w:eastAsia="仿宋_GB2312" w:cs="仿宋"/>
          <w:b/>
          <w:sz w:val="32"/>
          <w:szCs w:val="32"/>
        </w:rPr>
        <w:t>万元，原因为</w:t>
      </w:r>
      <w:r>
        <w:rPr>
          <w:rFonts w:hint="eastAsia" w:ascii="仿宋_GB2312" w:hAnsi="仿宋" w:eastAsia="仿宋_GB2312" w:cs="仿宋"/>
          <w:b/>
          <w:sz w:val="32"/>
          <w:szCs w:val="32"/>
          <w:lang w:val="en-US" w:eastAsia="zh-CN"/>
        </w:rPr>
        <w:t>工作需要</w:t>
      </w:r>
      <w:r>
        <w:rPr>
          <w:rFonts w:hint="eastAsia" w:ascii="仿宋_GB2312" w:hAnsi="仿宋" w:eastAsia="仿宋_GB2312" w:cs="仿宋"/>
          <w:b/>
          <w:sz w:val="32"/>
          <w:szCs w:val="32"/>
          <w:lang w:eastAsia="zh-CN"/>
        </w:rPr>
        <w:t>和电大招生增多。</w:t>
      </w:r>
    </w:p>
    <w:p>
      <w:pPr>
        <w:rPr>
          <w:rFonts w:hint="eastAsia" w:ascii="仿宋" w:hAnsi="仿宋" w:eastAsia="仿宋" w:cs="仿宋"/>
          <w:sz w:val="32"/>
          <w:szCs w:val="32"/>
        </w:rPr>
      </w:pPr>
      <w:r>
        <w:rPr>
          <w:rFonts w:hint="eastAsia" w:ascii="仿宋" w:hAnsi="仿宋" w:eastAsia="仿宋" w:cs="仿宋"/>
          <w:sz w:val="32"/>
          <w:szCs w:val="32"/>
        </w:rPr>
        <w:t xml:space="preserve">    </w:t>
      </w:r>
    </w:p>
    <w:p>
      <w:pPr>
        <w:rPr>
          <w:rFonts w:hint="eastAsia" w:ascii="仿宋" w:hAnsi="仿宋" w:eastAsia="仿宋" w:cs="仿宋"/>
          <w:b/>
          <w:bCs/>
          <w:sz w:val="32"/>
          <w:szCs w:val="32"/>
        </w:rPr>
      </w:pPr>
      <w:r>
        <w:rPr>
          <w:rFonts w:hint="eastAsia" w:ascii="仿宋" w:hAnsi="仿宋" w:eastAsia="仿宋" w:cs="仿宋"/>
          <w:b/>
          <w:bCs/>
          <w:sz w:val="32"/>
          <w:szCs w:val="32"/>
        </w:rPr>
        <w:t>三、机关运行费安排情况</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我单位没有机关运行费。</w:t>
      </w:r>
    </w:p>
    <w:p>
      <w:pPr>
        <w:rPr>
          <w:rFonts w:hint="eastAsia" w:ascii="仿宋" w:hAnsi="仿宋" w:eastAsia="仿宋" w:cs="仿宋"/>
          <w:sz w:val="32"/>
          <w:szCs w:val="32"/>
        </w:rPr>
      </w:pPr>
    </w:p>
    <w:p>
      <w:pPr>
        <w:rPr>
          <w:rFonts w:hint="eastAsia" w:ascii="仿宋" w:hAnsi="仿宋" w:eastAsia="仿宋" w:cs="仿宋"/>
          <w:b/>
          <w:bCs/>
          <w:sz w:val="32"/>
          <w:szCs w:val="32"/>
        </w:rPr>
      </w:pPr>
      <w:r>
        <w:rPr>
          <w:rFonts w:hint="eastAsia" w:ascii="仿宋" w:hAnsi="仿宋" w:eastAsia="仿宋" w:cs="仿宋"/>
          <w:b/>
          <w:bCs/>
          <w:sz w:val="32"/>
          <w:szCs w:val="32"/>
        </w:rPr>
        <w:t>四、政府采购安排情况</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本年度没有预算政府采购项目，但以实际发生为准。</w:t>
      </w:r>
    </w:p>
    <w:p>
      <w:pPr>
        <w:rPr>
          <w:rFonts w:hint="eastAsia" w:ascii="仿宋" w:hAnsi="仿宋" w:eastAsia="仿宋" w:cs="仿宋"/>
          <w:sz w:val="32"/>
          <w:szCs w:val="32"/>
        </w:rPr>
      </w:pPr>
    </w:p>
    <w:p>
      <w:pPr>
        <w:rPr>
          <w:rFonts w:hint="eastAsia" w:ascii="仿宋" w:hAnsi="仿宋" w:eastAsia="仿宋" w:cs="仿宋"/>
          <w:b/>
          <w:bCs/>
          <w:sz w:val="32"/>
          <w:szCs w:val="32"/>
        </w:rPr>
      </w:pPr>
      <w:r>
        <w:rPr>
          <w:rFonts w:hint="eastAsia" w:ascii="仿宋" w:hAnsi="仿宋" w:eastAsia="仿宋" w:cs="仿宋"/>
          <w:b/>
          <w:bCs/>
          <w:sz w:val="32"/>
          <w:szCs w:val="32"/>
        </w:rPr>
        <w:t>五、“三公”经费增减变化原因等情况说明</w:t>
      </w:r>
    </w:p>
    <w:p>
      <w:pPr>
        <w:rPr>
          <w:rFonts w:hint="eastAsia" w:ascii="仿宋" w:hAnsi="仿宋" w:eastAsia="仿宋" w:cs="仿宋"/>
          <w:sz w:val="32"/>
          <w:szCs w:val="32"/>
        </w:rPr>
      </w:pPr>
    </w:p>
    <w:p>
      <w:pPr>
        <w:ind w:firstLine="640" w:firstLineChars="200"/>
        <w:rPr>
          <w:rFonts w:hint="eastAsia" w:ascii="仿宋" w:hAnsi="仿宋" w:eastAsia="仿宋" w:cs="仿宋"/>
          <w:sz w:val="32"/>
          <w:szCs w:val="32"/>
        </w:rPr>
      </w:pPr>
      <w:r>
        <w:rPr>
          <w:rFonts w:hint="eastAsia" w:ascii="仿宋" w:hAnsi="仿宋" w:eastAsia="仿宋" w:cs="仿宋"/>
          <w:sz w:val="32"/>
          <w:szCs w:val="32"/>
        </w:rPr>
        <w:t>2022年“三公”经费预算数为0万元，其中</w:t>
      </w:r>
      <w:r>
        <w:rPr>
          <w:rFonts w:hint="eastAsia" w:ascii="仿宋" w:hAnsi="仿宋" w:eastAsia="仿宋" w:cs="仿宋"/>
          <w:sz w:val="32"/>
          <w:szCs w:val="32"/>
          <w:lang w:eastAsia="zh-CN"/>
        </w:rPr>
        <w:t>：</w:t>
      </w:r>
      <w:r>
        <w:rPr>
          <w:rFonts w:hint="eastAsia" w:ascii="仿宋" w:hAnsi="仿宋" w:eastAsia="仿宋" w:cs="仿宋"/>
          <w:sz w:val="32"/>
          <w:szCs w:val="32"/>
        </w:rPr>
        <w:t>因公出国（境）费0万元；公务接待费0万元；公务用车购置及运行费0万元。2021年也无“三公”经费支出，</w:t>
      </w:r>
      <w:r>
        <w:rPr>
          <w:rFonts w:hint="eastAsia" w:ascii="仿宋" w:hAnsi="仿宋" w:eastAsia="仿宋" w:cs="仿宋"/>
          <w:sz w:val="32"/>
          <w:szCs w:val="32"/>
          <w:lang w:val="en-US" w:eastAsia="zh-CN"/>
        </w:rPr>
        <w:t>上年比较</w:t>
      </w:r>
      <w:r>
        <w:rPr>
          <w:rFonts w:hint="eastAsia" w:ascii="仿宋" w:hAnsi="仿宋" w:eastAsia="仿宋" w:cs="仿宋"/>
          <w:sz w:val="32"/>
          <w:szCs w:val="32"/>
        </w:rPr>
        <w:t>无增减变动。</w:t>
      </w:r>
    </w:p>
    <w:p>
      <w:pPr>
        <w:rPr>
          <w:rFonts w:hint="eastAsia" w:ascii="仿宋" w:hAnsi="仿宋" w:eastAsia="仿宋" w:cs="仿宋"/>
          <w:sz w:val="32"/>
          <w:szCs w:val="32"/>
        </w:rPr>
      </w:pPr>
    </w:p>
    <w:p>
      <w:pPr>
        <w:rPr>
          <w:rFonts w:hint="eastAsia" w:ascii="仿宋" w:hAnsi="仿宋" w:eastAsia="仿宋" w:cs="仿宋"/>
          <w:b/>
          <w:bCs/>
          <w:sz w:val="32"/>
          <w:szCs w:val="32"/>
        </w:rPr>
      </w:pPr>
      <w:r>
        <w:rPr>
          <w:rFonts w:hint="eastAsia" w:ascii="仿宋" w:hAnsi="仿宋" w:eastAsia="仿宋" w:cs="仿宋"/>
          <w:b/>
          <w:bCs/>
          <w:sz w:val="32"/>
          <w:szCs w:val="32"/>
        </w:rPr>
        <w:t>六、预算绩效情况</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康平县</w:t>
      </w:r>
      <w:r>
        <w:rPr>
          <w:rFonts w:hint="eastAsia" w:ascii="仿宋" w:hAnsi="仿宋" w:eastAsia="仿宋" w:cs="仿宋"/>
          <w:sz w:val="32"/>
          <w:szCs w:val="32"/>
          <w:lang w:eastAsia="zh-CN"/>
        </w:rPr>
        <w:t>教育研究中心</w:t>
      </w:r>
      <w:r>
        <w:rPr>
          <w:rFonts w:hint="eastAsia" w:ascii="仿宋" w:hAnsi="仿宋" w:eastAsia="仿宋" w:cs="仿宋"/>
          <w:sz w:val="32"/>
          <w:szCs w:val="32"/>
        </w:rPr>
        <w:t>本年度没有预算绩效目标管理，但以实际发生为准。</w:t>
      </w:r>
    </w:p>
    <w:p>
      <w:pPr>
        <w:rPr>
          <w:rFonts w:hint="eastAsia" w:ascii="仿宋" w:hAnsi="仿宋" w:eastAsia="仿宋" w:cs="仿宋"/>
          <w:sz w:val="32"/>
          <w:szCs w:val="32"/>
        </w:rPr>
      </w:pPr>
    </w:p>
    <w:p>
      <w:pPr>
        <w:rPr>
          <w:rFonts w:hint="eastAsia" w:ascii="仿宋" w:hAnsi="仿宋" w:eastAsia="仿宋" w:cs="仿宋"/>
          <w:b/>
          <w:bCs/>
          <w:sz w:val="32"/>
          <w:szCs w:val="32"/>
        </w:rPr>
      </w:pPr>
      <w:r>
        <w:rPr>
          <w:rFonts w:hint="eastAsia" w:ascii="仿宋" w:hAnsi="仿宋" w:eastAsia="仿宋" w:cs="仿宋"/>
          <w:b/>
          <w:bCs/>
          <w:sz w:val="32"/>
          <w:szCs w:val="32"/>
        </w:rPr>
        <w:t>七、国有资产占用使用情况</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康平县</w:t>
      </w:r>
      <w:bookmarkStart w:id="0" w:name="_GoBack"/>
      <w:bookmarkEnd w:id="0"/>
      <w:r>
        <w:rPr>
          <w:rFonts w:hint="eastAsia" w:ascii="仿宋" w:hAnsi="仿宋" w:eastAsia="仿宋" w:cs="仿宋"/>
          <w:sz w:val="32"/>
          <w:szCs w:val="32"/>
          <w:lang w:eastAsia="zh-CN"/>
        </w:rPr>
        <w:t>教育研究中心</w:t>
      </w:r>
      <w:r>
        <w:rPr>
          <w:rFonts w:hint="eastAsia" w:ascii="仿宋" w:hAnsi="仿宋" w:eastAsia="仿宋" w:cs="仿宋"/>
          <w:sz w:val="32"/>
          <w:szCs w:val="32"/>
        </w:rPr>
        <w:t>本年度固定资产期末原值为</w:t>
      </w:r>
      <w:r>
        <w:rPr>
          <w:rFonts w:hint="eastAsia" w:ascii="仿宋" w:hAnsi="仿宋" w:eastAsia="仿宋" w:cs="仿宋"/>
          <w:sz w:val="32"/>
          <w:szCs w:val="32"/>
          <w:lang w:val="en-US" w:eastAsia="zh-CN"/>
        </w:rPr>
        <w:t>9546829.87</w:t>
      </w:r>
      <w:r>
        <w:rPr>
          <w:rFonts w:hint="eastAsia" w:ascii="仿宋" w:hAnsi="仿宋" w:eastAsia="仿宋" w:cs="仿宋"/>
          <w:sz w:val="32"/>
          <w:szCs w:val="32"/>
        </w:rPr>
        <w:t>元,其中累计折旧</w:t>
      </w:r>
      <w:r>
        <w:rPr>
          <w:rFonts w:hint="eastAsia" w:ascii="仿宋" w:hAnsi="仿宋" w:eastAsia="仿宋" w:cs="仿宋"/>
          <w:sz w:val="32"/>
          <w:szCs w:val="32"/>
          <w:lang w:val="en-US" w:eastAsia="zh-CN"/>
        </w:rPr>
        <w:t>5831824.9</w:t>
      </w:r>
      <w:r>
        <w:rPr>
          <w:rFonts w:hint="eastAsia" w:ascii="仿宋" w:hAnsi="仿宋" w:eastAsia="仿宋" w:cs="仿宋"/>
          <w:sz w:val="32"/>
          <w:szCs w:val="32"/>
        </w:rPr>
        <w:t>元，期末净值</w:t>
      </w:r>
      <w:r>
        <w:rPr>
          <w:rFonts w:hint="eastAsia" w:ascii="仿宋" w:hAnsi="仿宋" w:eastAsia="仿宋" w:cs="仿宋"/>
          <w:sz w:val="32"/>
          <w:szCs w:val="32"/>
          <w:lang w:val="en-US" w:eastAsia="zh-CN"/>
        </w:rPr>
        <w:t>3715004.97</w:t>
      </w:r>
      <w:r>
        <w:rPr>
          <w:rFonts w:hint="eastAsia" w:ascii="仿宋" w:hAnsi="仿宋" w:eastAsia="仿宋" w:cs="仿宋"/>
          <w:sz w:val="32"/>
          <w:szCs w:val="32"/>
        </w:rPr>
        <w:t>元。</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八、名词解释</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1.财政拨款收入：指市级财政当年拨付的资金。</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2.上级补助收入：指事业单位从主管部门和上级单位取得的非财政补助收入。</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3.附属单位上缴收入：指已纳入部门预算管理的独立核算的附属单位按照有关规定上缴的收入。</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4. 其他收入：指除上述“财政拨款收入”、“纳入专户管理的预算外资金拨款”、“上级补助、附属单位上缴收入”以外的收入。</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5.一般公共服务（类）财政事务（款）行政运行（项）：反映行政单位（包括实行公务员管理的事业单位）的基本支出。</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6.一般公共服务（类）财政事务（款）一般行政管理事务（项）：反映行政单位（包括实行公务员管理的事业单位）未单独设置项级科目的其他项目支出。</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7.一般公共服务（类）财政事务（款）预算改革业务（项）：反映财政部门用于预算改革方面的支出。</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8.一般公共服务（类）财政事务（款）财政国库业务（项）：反映财政部门用于财政国库集中收付业务方面的支出。</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9.一般公共服务（类）财政事务（款）事业运行（项）：反映事业单位的基本支出，不包括行政单位（包括实行公务员管理的事业单位）后勤服务中心、医务室等附属事业单位。</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10.一般公共服务（类）财政事务（款）其他财政事务支出（项）：反映除上述项目以外其他财政事务方面的支出。</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11.社会保障和就业（类）行政事业单位离退休（款）归口管理的行政单位离退休（项）：反映实行归口管理的行政单位（包括实行公务员管理的事业单位）开支的离退休经费。</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12.社会保障和就业（类）行政事业单位离退休（款）事业单位离退休（项）：反映实行归口管理的事业单位开支的离退休经费。</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15.住房保障（类）住房改革（款）住房公积金（项）：反映行政事业单位按人力资源和社会保障部、财政部规定的基本工资和津贴补贴以及规定比例为职工缴纳的住房公积金。</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16. 基本支出：指保障机构正常运转、完成日常工作任务而发生的人员支出和公用支出。</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17. 项目支出：指在基本支出之外为完成特定行政任务和事业发展目标所发生的支出。</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bordersDoNotSurroundHeader w:val="0"/>
  <w:bordersDoNotSurroundFooter w:val="0"/>
  <w:hideSpellingErrors/>
  <w:hideGrammaticalErrors/>
  <w:doNotTrackMoves/>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3MTcwYzhmNmM4Y2VlNzhjOGYyNTQ0ZjE0YzE0ODcifQ=="/>
  </w:docVars>
  <w:rsids>
    <w:rsidRoot w:val="008E1E9C"/>
    <w:rsid w:val="00003B86"/>
    <w:rsid w:val="00005C61"/>
    <w:rsid w:val="00007374"/>
    <w:rsid w:val="0001007C"/>
    <w:rsid w:val="000135F1"/>
    <w:rsid w:val="0001483D"/>
    <w:rsid w:val="00020280"/>
    <w:rsid w:val="000203EE"/>
    <w:rsid w:val="00020601"/>
    <w:rsid w:val="00020F89"/>
    <w:rsid w:val="00022BD0"/>
    <w:rsid w:val="00025826"/>
    <w:rsid w:val="00027134"/>
    <w:rsid w:val="0003345F"/>
    <w:rsid w:val="000348E0"/>
    <w:rsid w:val="000377B0"/>
    <w:rsid w:val="000403D1"/>
    <w:rsid w:val="000422BD"/>
    <w:rsid w:val="0004407E"/>
    <w:rsid w:val="00046413"/>
    <w:rsid w:val="00053C12"/>
    <w:rsid w:val="00054609"/>
    <w:rsid w:val="0005725B"/>
    <w:rsid w:val="00062552"/>
    <w:rsid w:val="00063CCB"/>
    <w:rsid w:val="000657CF"/>
    <w:rsid w:val="00067207"/>
    <w:rsid w:val="00071928"/>
    <w:rsid w:val="00072D1D"/>
    <w:rsid w:val="000731DA"/>
    <w:rsid w:val="00075418"/>
    <w:rsid w:val="00080CE2"/>
    <w:rsid w:val="00082C89"/>
    <w:rsid w:val="00092E2B"/>
    <w:rsid w:val="00097E1B"/>
    <w:rsid w:val="000A4ED6"/>
    <w:rsid w:val="000B4615"/>
    <w:rsid w:val="000B545E"/>
    <w:rsid w:val="000C170B"/>
    <w:rsid w:val="000C446E"/>
    <w:rsid w:val="000D465A"/>
    <w:rsid w:val="000D75E6"/>
    <w:rsid w:val="000E4194"/>
    <w:rsid w:val="000E5154"/>
    <w:rsid w:val="000F1771"/>
    <w:rsid w:val="000F1AF2"/>
    <w:rsid w:val="000F432E"/>
    <w:rsid w:val="00103A49"/>
    <w:rsid w:val="0011450A"/>
    <w:rsid w:val="00123338"/>
    <w:rsid w:val="00127FF9"/>
    <w:rsid w:val="0013276F"/>
    <w:rsid w:val="001340D6"/>
    <w:rsid w:val="00134A51"/>
    <w:rsid w:val="0014240E"/>
    <w:rsid w:val="00142F1A"/>
    <w:rsid w:val="0014458B"/>
    <w:rsid w:val="001477EA"/>
    <w:rsid w:val="00147DA0"/>
    <w:rsid w:val="00165774"/>
    <w:rsid w:val="00165D26"/>
    <w:rsid w:val="00167C66"/>
    <w:rsid w:val="00174499"/>
    <w:rsid w:val="00175E0D"/>
    <w:rsid w:val="001773D0"/>
    <w:rsid w:val="001801B3"/>
    <w:rsid w:val="00181A83"/>
    <w:rsid w:val="00185F4F"/>
    <w:rsid w:val="001935DD"/>
    <w:rsid w:val="00193ACC"/>
    <w:rsid w:val="00194081"/>
    <w:rsid w:val="00196F01"/>
    <w:rsid w:val="001A02BD"/>
    <w:rsid w:val="001B2405"/>
    <w:rsid w:val="001B43C5"/>
    <w:rsid w:val="001D1181"/>
    <w:rsid w:val="001D7C9B"/>
    <w:rsid w:val="001E34DD"/>
    <w:rsid w:val="001F34E5"/>
    <w:rsid w:val="001F5749"/>
    <w:rsid w:val="0020212F"/>
    <w:rsid w:val="00202299"/>
    <w:rsid w:val="00203C87"/>
    <w:rsid w:val="00210E20"/>
    <w:rsid w:val="002172C8"/>
    <w:rsid w:val="00217CA1"/>
    <w:rsid w:val="00217EEC"/>
    <w:rsid w:val="002216D6"/>
    <w:rsid w:val="002227C1"/>
    <w:rsid w:val="00226F33"/>
    <w:rsid w:val="00227AEA"/>
    <w:rsid w:val="002303B3"/>
    <w:rsid w:val="0023258E"/>
    <w:rsid w:val="00232D2A"/>
    <w:rsid w:val="00235096"/>
    <w:rsid w:val="002358DE"/>
    <w:rsid w:val="00235ACB"/>
    <w:rsid w:val="0023716A"/>
    <w:rsid w:val="00240B65"/>
    <w:rsid w:val="0024223F"/>
    <w:rsid w:val="002425D3"/>
    <w:rsid w:val="002429D5"/>
    <w:rsid w:val="00245345"/>
    <w:rsid w:val="00247B18"/>
    <w:rsid w:val="0025109A"/>
    <w:rsid w:val="002515F0"/>
    <w:rsid w:val="00254C19"/>
    <w:rsid w:val="0026379B"/>
    <w:rsid w:val="00264577"/>
    <w:rsid w:val="002646F4"/>
    <w:rsid w:val="00266162"/>
    <w:rsid w:val="00271C99"/>
    <w:rsid w:val="002751A6"/>
    <w:rsid w:val="00281C36"/>
    <w:rsid w:val="00286D03"/>
    <w:rsid w:val="00291E1A"/>
    <w:rsid w:val="0029307F"/>
    <w:rsid w:val="00293F41"/>
    <w:rsid w:val="002952D6"/>
    <w:rsid w:val="00295CA6"/>
    <w:rsid w:val="00296011"/>
    <w:rsid w:val="00297026"/>
    <w:rsid w:val="002A09CB"/>
    <w:rsid w:val="002A1C5B"/>
    <w:rsid w:val="002A790C"/>
    <w:rsid w:val="002B0FE2"/>
    <w:rsid w:val="002B26CB"/>
    <w:rsid w:val="002B3159"/>
    <w:rsid w:val="002B3415"/>
    <w:rsid w:val="002B35BB"/>
    <w:rsid w:val="002B748D"/>
    <w:rsid w:val="002C2C38"/>
    <w:rsid w:val="002C6C4F"/>
    <w:rsid w:val="002D159C"/>
    <w:rsid w:val="002D3FA2"/>
    <w:rsid w:val="002E0AA0"/>
    <w:rsid w:val="002E0D2F"/>
    <w:rsid w:val="002E21BB"/>
    <w:rsid w:val="002E63E5"/>
    <w:rsid w:val="002E662E"/>
    <w:rsid w:val="002F03A6"/>
    <w:rsid w:val="002F548C"/>
    <w:rsid w:val="00302442"/>
    <w:rsid w:val="00307E48"/>
    <w:rsid w:val="003102D2"/>
    <w:rsid w:val="00312005"/>
    <w:rsid w:val="00317722"/>
    <w:rsid w:val="003431D9"/>
    <w:rsid w:val="00344200"/>
    <w:rsid w:val="00350B20"/>
    <w:rsid w:val="00353B78"/>
    <w:rsid w:val="00365A44"/>
    <w:rsid w:val="00372945"/>
    <w:rsid w:val="00374685"/>
    <w:rsid w:val="003751FB"/>
    <w:rsid w:val="00376833"/>
    <w:rsid w:val="003844A3"/>
    <w:rsid w:val="0038545C"/>
    <w:rsid w:val="00390B21"/>
    <w:rsid w:val="00395365"/>
    <w:rsid w:val="00397B00"/>
    <w:rsid w:val="003A1A57"/>
    <w:rsid w:val="003A35BF"/>
    <w:rsid w:val="003B0443"/>
    <w:rsid w:val="003B1E4B"/>
    <w:rsid w:val="003B3D17"/>
    <w:rsid w:val="003B480B"/>
    <w:rsid w:val="003B6AE6"/>
    <w:rsid w:val="003C594A"/>
    <w:rsid w:val="003D23A0"/>
    <w:rsid w:val="003D520E"/>
    <w:rsid w:val="003E1B05"/>
    <w:rsid w:val="003E1D5C"/>
    <w:rsid w:val="003E3EFF"/>
    <w:rsid w:val="003E40DC"/>
    <w:rsid w:val="003E52C0"/>
    <w:rsid w:val="003E5B4E"/>
    <w:rsid w:val="003E6068"/>
    <w:rsid w:val="003E709D"/>
    <w:rsid w:val="003E7927"/>
    <w:rsid w:val="003E7FA6"/>
    <w:rsid w:val="003F0914"/>
    <w:rsid w:val="003F0F57"/>
    <w:rsid w:val="003F48DE"/>
    <w:rsid w:val="003F615A"/>
    <w:rsid w:val="004033D6"/>
    <w:rsid w:val="00404E55"/>
    <w:rsid w:val="00412C0D"/>
    <w:rsid w:val="00425007"/>
    <w:rsid w:val="00430553"/>
    <w:rsid w:val="00432CD0"/>
    <w:rsid w:val="00435AE6"/>
    <w:rsid w:val="00442336"/>
    <w:rsid w:val="00443FEE"/>
    <w:rsid w:val="00446F66"/>
    <w:rsid w:val="00452701"/>
    <w:rsid w:val="004553EE"/>
    <w:rsid w:val="00455EDF"/>
    <w:rsid w:val="00457A43"/>
    <w:rsid w:val="004604BF"/>
    <w:rsid w:val="004615A2"/>
    <w:rsid w:val="00462A6A"/>
    <w:rsid w:val="0046412D"/>
    <w:rsid w:val="00465000"/>
    <w:rsid w:val="004656F9"/>
    <w:rsid w:val="00477255"/>
    <w:rsid w:val="00480066"/>
    <w:rsid w:val="004856E0"/>
    <w:rsid w:val="00486041"/>
    <w:rsid w:val="00496E2D"/>
    <w:rsid w:val="004A3521"/>
    <w:rsid w:val="004A4BC6"/>
    <w:rsid w:val="004A72BD"/>
    <w:rsid w:val="004B7301"/>
    <w:rsid w:val="004B741A"/>
    <w:rsid w:val="004C0DF8"/>
    <w:rsid w:val="004C4FBC"/>
    <w:rsid w:val="004D0C54"/>
    <w:rsid w:val="004D0F84"/>
    <w:rsid w:val="004D1CF1"/>
    <w:rsid w:val="004D2441"/>
    <w:rsid w:val="004D4830"/>
    <w:rsid w:val="004D5BDB"/>
    <w:rsid w:val="004D60F5"/>
    <w:rsid w:val="004D750B"/>
    <w:rsid w:val="004E5CC5"/>
    <w:rsid w:val="005006F5"/>
    <w:rsid w:val="00501868"/>
    <w:rsid w:val="00501D57"/>
    <w:rsid w:val="005035EC"/>
    <w:rsid w:val="00505285"/>
    <w:rsid w:val="00507520"/>
    <w:rsid w:val="00511821"/>
    <w:rsid w:val="005213CB"/>
    <w:rsid w:val="0052167D"/>
    <w:rsid w:val="00541233"/>
    <w:rsid w:val="00545232"/>
    <w:rsid w:val="005454AA"/>
    <w:rsid w:val="005454F7"/>
    <w:rsid w:val="00545554"/>
    <w:rsid w:val="00545D44"/>
    <w:rsid w:val="00547ACE"/>
    <w:rsid w:val="00556E7E"/>
    <w:rsid w:val="00562372"/>
    <w:rsid w:val="005627A1"/>
    <w:rsid w:val="00564B76"/>
    <w:rsid w:val="005654D8"/>
    <w:rsid w:val="00566294"/>
    <w:rsid w:val="00572847"/>
    <w:rsid w:val="00573257"/>
    <w:rsid w:val="00574008"/>
    <w:rsid w:val="005751BA"/>
    <w:rsid w:val="00577CE8"/>
    <w:rsid w:val="00580E6A"/>
    <w:rsid w:val="005815F7"/>
    <w:rsid w:val="00582B63"/>
    <w:rsid w:val="00585C0E"/>
    <w:rsid w:val="00586F68"/>
    <w:rsid w:val="00587675"/>
    <w:rsid w:val="00595AA9"/>
    <w:rsid w:val="005964A7"/>
    <w:rsid w:val="005976B7"/>
    <w:rsid w:val="005A2CCD"/>
    <w:rsid w:val="005A5BD3"/>
    <w:rsid w:val="005A637A"/>
    <w:rsid w:val="005B7609"/>
    <w:rsid w:val="005B7E01"/>
    <w:rsid w:val="005C0A43"/>
    <w:rsid w:val="005D1909"/>
    <w:rsid w:val="005D1948"/>
    <w:rsid w:val="005D4719"/>
    <w:rsid w:val="005D7D02"/>
    <w:rsid w:val="005E14C3"/>
    <w:rsid w:val="005E4FBD"/>
    <w:rsid w:val="005F008E"/>
    <w:rsid w:val="005F2CBB"/>
    <w:rsid w:val="00600E2A"/>
    <w:rsid w:val="0061003A"/>
    <w:rsid w:val="00617B63"/>
    <w:rsid w:val="00622B78"/>
    <w:rsid w:val="00623EAE"/>
    <w:rsid w:val="00625508"/>
    <w:rsid w:val="00626ECB"/>
    <w:rsid w:val="00632544"/>
    <w:rsid w:val="00635CC5"/>
    <w:rsid w:val="00642D2A"/>
    <w:rsid w:val="00643746"/>
    <w:rsid w:val="006449BF"/>
    <w:rsid w:val="00645BCD"/>
    <w:rsid w:val="00646248"/>
    <w:rsid w:val="00651AAB"/>
    <w:rsid w:val="00652E57"/>
    <w:rsid w:val="00653495"/>
    <w:rsid w:val="00653D20"/>
    <w:rsid w:val="006550CC"/>
    <w:rsid w:val="0065767D"/>
    <w:rsid w:val="00663E4C"/>
    <w:rsid w:val="00666E87"/>
    <w:rsid w:val="00667DF1"/>
    <w:rsid w:val="00673958"/>
    <w:rsid w:val="00674CFF"/>
    <w:rsid w:val="006753E5"/>
    <w:rsid w:val="00677C08"/>
    <w:rsid w:val="006814DA"/>
    <w:rsid w:val="006834A6"/>
    <w:rsid w:val="006836CF"/>
    <w:rsid w:val="006842FE"/>
    <w:rsid w:val="00685C32"/>
    <w:rsid w:val="00686FC1"/>
    <w:rsid w:val="0069162D"/>
    <w:rsid w:val="0069229F"/>
    <w:rsid w:val="006932D6"/>
    <w:rsid w:val="006950BA"/>
    <w:rsid w:val="00695E6C"/>
    <w:rsid w:val="00696767"/>
    <w:rsid w:val="006973E7"/>
    <w:rsid w:val="006A1F87"/>
    <w:rsid w:val="006A758A"/>
    <w:rsid w:val="006B15D4"/>
    <w:rsid w:val="006B5178"/>
    <w:rsid w:val="006B72AB"/>
    <w:rsid w:val="006B77CD"/>
    <w:rsid w:val="006B7863"/>
    <w:rsid w:val="006D3940"/>
    <w:rsid w:val="006E0A3B"/>
    <w:rsid w:val="006E2979"/>
    <w:rsid w:val="006E362C"/>
    <w:rsid w:val="006F038B"/>
    <w:rsid w:val="006F69D2"/>
    <w:rsid w:val="00702735"/>
    <w:rsid w:val="00705759"/>
    <w:rsid w:val="00705F86"/>
    <w:rsid w:val="007061AC"/>
    <w:rsid w:val="00712BBC"/>
    <w:rsid w:val="007151DC"/>
    <w:rsid w:val="007174D9"/>
    <w:rsid w:val="00722A9D"/>
    <w:rsid w:val="00726D67"/>
    <w:rsid w:val="00727E42"/>
    <w:rsid w:val="007318E4"/>
    <w:rsid w:val="00732A83"/>
    <w:rsid w:val="00740BE8"/>
    <w:rsid w:val="00740F87"/>
    <w:rsid w:val="00740F8B"/>
    <w:rsid w:val="00750753"/>
    <w:rsid w:val="00751D2D"/>
    <w:rsid w:val="007577D7"/>
    <w:rsid w:val="00757D31"/>
    <w:rsid w:val="0076277C"/>
    <w:rsid w:val="00762FC7"/>
    <w:rsid w:val="0076385C"/>
    <w:rsid w:val="00787B2B"/>
    <w:rsid w:val="00793C89"/>
    <w:rsid w:val="00796DBA"/>
    <w:rsid w:val="007A2E87"/>
    <w:rsid w:val="007B0C52"/>
    <w:rsid w:val="007B5032"/>
    <w:rsid w:val="007B589D"/>
    <w:rsid w:val="007B6FEE"/>
    <w:rsid w:val="007B7128"/>
    <w:rsid w:val="007B7D24"/>
    <w:rsid w:val="007C00D5"/>
    <w:rsid w:val="007C0E14"/>
    <w:rsid w:val="007C6648"/>
    <w:rsid w:val="007D7340"/>
    <w:rsid w:val="007E0685"/>
    <w:rsid w:val="007E1ED2"/>
    <w:rsid w:val="007E3ADE"/>
    <w:rsid w:val="007E6B18"/>
    <w:rsid w:val="007F13A2"/>
    <w:rsid w:val="007F1E1E"/>
    <w:rsid w:val="007F225C"/>
    <w:rsid w:val="007F356C"/>
    <w:rsid w:val="007F650F"/>
    <w:rsid w:val="0080073C"/>
    <w:rsid w:val="00806E6F"/>
    <w:rsid w:val="008135A2"/>
    <w:rsid w:val="008325D0"/>
    <w:rsid w:val="008335DA"/>
    <w:rsid w:val="00833819"/>
    <w:rsid w:val="008403B3"/>
    <w:rsid w:val="008410B1"/>
    <w:rsid w:val="008419AC"/>
    <w:rsid w:val="00843D55"/>
    <w:rsid w:val="00856955"/>
    <w:rsid w:val="008569F0"/>
    <w:rsid w:val="00856A51"/>
    <w:rsid w:val="00862B0A"/>
    <w:rsid w:val="008635F8"/>
    <w:rsid w:val="00863F7F"/>
    <w:rsid w:val="00870A58"/>
    <w:rsid w:val="0087253C"/>
    <w:rsid w:val="0087254E"/>
    <w:rsid w:val="00873C9C"/>
    <w:rsid w:val="00880703"/>
    <w:rsid w:val="008839B5"/>
    <w:rsid w:val="00884384"/>
    <w:rsid w:val="00885E53"/>
    <w:rsid w:val="00886A62"/>
    <w:rsid w:val="00890F71"/>
    <w:rsid w:val="008945DF"/>
    <w:rsid w:val="00895C96"/>
    <w:rsid w:val="008A44F2"/>
    <w:rsid w:val="008B08CA"/>
    <w:rsid w:val="008B1EE5"/>
    <w:rsid w:val="008B402E"/>
    <w:rsid w:val="008B6368"/>
    <w:rsid w:val="008C59FE"/>
    <w:rsid w:val="008C60AF"/>
    <w:rsid w:val="008D25A6"/>
    <w:rsid w:val="008D7F35"/>
    <w:rsid w:val="008E1E9C"/>
    <w:rsid w:val="008E2BCE"/>
    <w:rsid w:val="008E53A6"/>
    <w:rsid w:val="008E63A6"/>
    <w:rsid w:val="008F4391"/>
    <w:rsid w:val="008F62F5"/>
    <w:rsid w:val="00903414"/>
    <w:rsid w:val="0090377A"/>
    <w:rsid w:val="00906158"/>
    <w:rsid w:val="00914004"/>
    <w:rsid w:val="00914B9D"/>
    <w:rsid w:val="0091565F"/>
    <w:rsid w:val="0092438A"/>
    <w:rsid w:val="00924AD8"/>
    <w:rsid w:val="00930B9B"/>
    <w:rsid w:val="00932200"/>
    <w:rsid w:val="009326EB"/>
    <w:rsid w:val="009377BA"/>
    <w:rsid w:val="00937AA3"/>
    <w:rsid w:val="0094049A"/>
    <w:rsid w:val="00940949"/>
    <w:rsid w:val="00940B31"/>
    <w:rsid w:val="00944D8A"/>
    <w:rsid w:val="00945294"/>
    <w:rsid w:val="00951CAA"/>
    <w:rsid w:val="009579F1"/>
    <w:rsid w:val="009628E9"/>
    <w:rsid w:val="00962A2D"/>
    <w:rsid w:val="00963327"/>
    <w:rsid w:val="00965916"/>
    <w:rsid w:val="00967367"/>
    <w:rsid w:val="00967944"/>
    <w:rsid w:val="00973073"/>
    <w:rsid w:val="00974D76"/>
    <w:rsid w:val="00975092"/>
    <w:rsid w:val="00975AAE"/>
    <w:rsid w:val="00977261"/>
    <w:rsid w:val="00977881"/>
    <w:rsid w:val="00980936"/>
    <w:rsid w:val="009875E7"/>
    <w:rsid w:val="00994B5A"/>
    <w:rsid w:val="0099520E"/>
    <w:rsid w:val="009A2A02"/>
    <w:rsid w:val="009A37CD"/>
    <w:rsid w:val="009A78B6"/>
    <w:rsid w:val="009B169D"/>
    <w:rsid w:val="009B172F"/>
    <w:rsid w:val="009B54C3"/>
    <w:rsid w:val="009C2CFE"/>
    <w:rsid w:val="009C3F55"/>
    <w:rsid w:val="009C5360"/>
    <w:rsid w:val="009D7B94"/>
    <w:rsid w:val="009E3C94"/>
    <w:rsid w:val="009F0C16"/>
    <w:rsid w:val="009F789C"/>
    <w:rsid w:val="00A06B0B"/>
    <w:rsid w:val="00A11169"/>
    <w:rsid w:val="00A12309"/>
    <w:rsid w:val="00A12D94"/>
    <w:rsid w:val="00A14724"/>
    <w:rsid w:val="00A15ECE"/>
    <w:rsid w:val="00A17934"/>
    <w:rsid w:val="00A268F4"/>
    <w:rsid w:val="00A33159"/>
    <w:rsid w:val="00A3642E"/>
    <w:rsid w:val="00A37C39"/>
    <w:rsid w:val="00A40034"/>
    <w:rsid w:val="00A42F43"/>
    <w:rsid w:val="00A43296"/>
    <w:rsid w:val="00A447E1"/>
    <w:rsid w:val="00A452B7"/>
    <w:rsid w:val="00A50683"/>
    <w:rsid w:val="00A519DA"/>
    <w:rsid w:val="00A52FEC"/>
    <w:rsid w:val="00A56EFF"/>
    <w:rsid w:val="00A61327"/>
    <w:rsid w:val="00A6138D"/>
    <w:rsid w:val="00A619A0"/>
    <w:rsid w:val="00A67BC6"/>
    <w:rsid w:val="00A73611"/>
    <w:rsid w:val="00A73614"/>
    <w:rsid w:val="00A736FC"/>
    <w:rsid w:val="00A76AC0"/>
    <w:rsid w:val="00A832E2"/>
    <w:rsid w:val="00A84745"/>
    <w:rsid w:val="00A9467B"/>
    <w:rsid w:val="00A96AB7"/>
    <w:rsid w:val="00A979AA"/>
    <w:rsid w:val="00AA1B77"/>
    <w:rsid w:val="00AA5E2D"/>
    <w:rsid w:val="00AB2B2B"/>
    <w:rsid w:val="00AB35B3"/>
    <w:rsid w:val="00AC2855"/>
    <w:rsid w:val="00AD2646"/>
    <w:rsid w:val="00AE31C1"/>
    <w:rsid w:val="00AE48CB"/>
    <w:rsid w:val="00AE4EDD"/>
    <w:rsid w:val="00AE6184"/>
    <w:rsid w:val="00AE7918"/>
    <w:rsid w:val="00AF2E9C"/>
    <w:rsid w:val="00B0447A"/>
    <w:rsid w:val="00B0587D"/>
    <w:rsid w:val="00B06665"/>
    <w:rsid w:val="00B15A7F"/>
    <w:rsid w:val="00B1663C"/>
    <w:rsid w:val="00B30C9A"/>
    <w:rsid w:val="00B34879"/>
    <w:rsid w:val="00B34A2A"/>
    <w:rsid w:val="00B43BA5"/>
    <w:rsid w:val="00B511EC"/>
    <w:rsid w:val="00B529BB"/>
    <w:rsid w:val="00B53057"/>
    <w:rsid w:val="00B55513"/>
    <w:rsid w:val="00B577EC"/>
    <w:rsid w:val="00B607DF"/>
    <w:rsid w:val="00B678B6"/>
    <w:rsid w:val="00B70838"/>
    <w:rsid w:val="00B73877"/>
    <w:rsid w:val="00B760C2"/>
    <w:rsid w:val="00B800FF"/>
    <w:rsid w:val="00B80CD6"/>
    <w:rsid w:val="00B825FD"/>
    <w:rsid w:val="00B8608F"/>
    <w:rsid w:val="00B91562"/>
    <w:rsid w:val="00B91A4F"/>
    <w:rsid w:val="00B938E9"/>
    <w:rsid w:val="00B96E3B"/>
    <w:rsid w:val="00BA5D9F"/>
    <w:rsid w:val="00BB2E09"/>
    <w:rsid w:val="00BB601D"/>
    <w:rsid w:val="00BC1386"/>
    <w:rsid w:val="00BC4200"/>
    <w:rsid w:val="00BD0008"/>
    <w:rsid w:val="00BD075F"/>
    <w:rsid w:val="00BD0FF0"/>
    <w:rsid w:val="00BF0820"/>
    <w:rsid w:val="00BF1C43"/>
    <w:rsid w:val="00BF1F61"/>
    <w:rsid w:val="00C0004C"/>
    <w:rsid w:val="00C02C80"/>
    <w:rsid w:val="00C21B19"/>
    <w:rsid w:val="00C26A3C"/>
    <w:rsid w:val="00C51EFC"/>
    <w:rsid w:val="00C62A39"/>
    <w:rsid w:val="00C6316C"/>
    <w:rsid w:val="00C648AF"/>
    <w:rsid w:val="00C66D22"/>
    <w:rsid w:val="00C70462"/>
    <w:rsid w:val="00C736E1"/>
    <w:rsid w:val="00C73B98"/>
    <w:rsid w:val="00C80192"/>
    <w:rsid w:val="00C83E8F"/>
    <w:rsid w:val="00C845DC"/>
    <w:rsid w:val="00C96AFB"/>
    <w:rsid w:val="00CA07AD"/>
    <w:rsid w:val="00CA45F2"/>
    <w:rsid w:val="00CA4B1F"/>
    <w:rsid w:val="00CA684F"/>
    <w:rsid w:val="00CA72E1"/>
    <w:rsid w:val="00CB5582"/>
    <w:rsid w:val="00CB6582"/>
    <w:rsid w:val="00CC319F"/>
    <w:rsid w:val="00CC3A01"/>
    <w:rsid w:val="00CC6509"/>
    <w:rsid w:val="00CC7009"/>
    <w:rsid w:val="00CC711C"/>
    <w:rsid w:val="00CD3786"/>
    <w:rsid w:val="00CD7B33"/>
    <w:rsid w:val="00CE6C48"/>
    <w:rsid w:val="00CE7894"/>
    <w:rsid w:val="00CF3256"/>
    <w:rsid w:val="00CF430F"/>
    <w:rsid w:val="00CF5772"/>
    <w:rsid w:val="00CF681A"/>
    <w:rsid w:val="00CF79BC"/>
    <w:rsid w:val="00D02F61"/>
    <w:rsid w:val="00D04907"/>
    <w:rsid w:val="00D1275C"/>
    <w:rsid w:val="00D1352A"/>
    <w:rsid w:val="00D14F3B"/>
    <w:rsid w:val="00D205EE"/>
    <w:rsid w:val="00D212A8"/>
    <w:rsid w:val="00D2253C"/>
    <w:rsid w:val="00D25ECD"/>
    <w:rsid w:val="00D30C0A"/>
    <w:rsid w:val="00D32C6C"/>
    <w:rsid w:val="00D37B57"/>
    <w:rsid w:val="00D37D1A"/>
    <w:rsid w:val="00D4153B"/>
    <w:rsid w:val="00D44BCB"/>
    <w:rsid w:val="00D44C32"/>
    <w:rsid w:val="00D459E6"/>
    <w:rsid w:val="00D4638A"/>
    <w:rsid w:val="00D5013F"/>
    <w:rsid w:val="00D52188"/>
    <w:rsid w:val="00D66506"/>
    <w:rsid w:val="00D66A00"/>
    <w:rsid w:val="00D66E12"/>
    <w:rsid w:val="00D72FEA"/>
    <w:rsid w:val="00D77EDD"/>
    <w:rsid w:val="00D814FE"/>
    <w:rsid w:val="00D924EE"/>
    <w:rsid w:val="00D92B91"/>
    <w:rsid w:val="00D93B2A"/>
    <w:rsid w:val="00D96517"/>
    <w:rsid w:val="00DB20EE"/>
    <w:rsid w:val="00DB22CD"/>
    <w:rsid w:val="00DB2E45"/>
    <w:rsid w:val="00DB5B64"/>
    <w:rsid w:val="00DB7645"/>
    <w:rsid w:val="00DC2605"/>
    <w:rsid w:val="00DD1A2D"/>
    <w:rsid w:val="00DE11F7"/>
    <w:rsid w:val="00DE65A3"/>
    <w:rsid w:val="00DF009D"/>
    <w:rsid w:val="00DF0E02"/>
    <w:rsid w:val="00DF28BD"/>
    <w:rsid w:val="00DF4649"/>
    <w:rsid w:val="00DF60F9"/>
    <w:rsid w:val="00E041FE"/>
    <w:rsid w:val="00E044DF"/>
    <w:rsid w:val="00E055F3"/>
    <w:rsid w:val="00E05BAE"/>
    <w:rsid w:val="00E179E3"/>
    <w:rsid w:val="00E21929"/>
    <w:rsid w:val="00E262DD"/>
    <w:rsid w:val="00E26581"/>
    <w:rsid w:val="00E31564"/>
    <w:rsid w:val="00E31B86"/>
    <w:rsid w:val="00E375FD"/>
    <w:rsid w:val="00E40275"/>
    <w:rsid w:val="00E47B2F"/>
    <w:rsid w:val="00E539C1"/>
    <w:rsid w:val="00E5444D"/>
    <w:rsid w:val="00E57E3D"/>
    <w:rsid w:val="00E616FC"/>
    <w:rsid w:val="00E61FA7"/>
    <w:rsid w:val="00E7348D"/>
    <w:rsid w:val="00E7507D"/>
    <w:rsid w:val="00E7652A"/>
    <w:rsid w:val="00E7653E"/>
    <w:rsid w:val="00E863BE"/>
    <w:rsid w:val="00E8653A"/>
    <w:rsid w:val="00E931CC"/>
    <w:rsid w:val="00E935B5"/>
    <w:rsid w:val="00E94A7F"/>
    <w:rsid w:val="00E95EC0"/>
    <w:rsid w:val="00EA17E8"/>
    <w:rsid w:val="00EB186C"/>
    <w:rsid w:val="00EB4B71"/>
    <w:rsid w:val="00EB51B0"/>
    <w:rsid w:val="00EB5459"/>
    <w:rsid w:val="00EC16A2"/>
    <w:rsid w:val="00EC2A59"/>
    <w:rsid w:val="00EC45F3"/>
    <w:rsid w:val="00EC6131"/>
    <w:rsid w:val="00EC6E71"/>
    <w:rsid w:val="00EC7871"/>
    <w:rsid w:val="00EC7C31"/>
    <w:rsid w:val="00ED254C"/>
    <w:rsid w:val="00ED55A3"/>
    <w:rsid w:val="00ED5E2C"/>
    <w:rsid w:val="00ED6CAA"/>
    <w:rsid w:val="00EE12C0"/>
    <w:rsid w:val="00EE2104"/>
    <w:rsid w:val="00EE6EAB"/>
    <w:rsid w:val="00EF1FF3"/>
    <w:rsid w:val="00EF2271"/>
    <w:rsid w:val="00EF2C31"/>
    <w:rsid w:val="00F017B6"/>
    <w:rsid w:val="00F02C11"/>
    <w:rsid w:val="00F05671"/>
    <w:rsid w:val="00F074B2"/>
    <w:rsid w:val="00F10A7A"/>
    <w:rsid w:val="00F10A91"/>
    <w:rsid w:val="00F1393D"/>
    <w:rsid w:val="00F1547E"/>
    <w:rsid w:val="00F2155C"/>
    <w:rsid w:val="00F25744"/>
    <w:rsid w:val="00F26448"/>
    <w:rsid w:val="00F30D72"/>
    <w:rsid w:val="00F347DB"/>
    <w:rsid w:val="00F40CB4"/>
    <w:rsid w:val="00F43A03"/>
    <w:rsid w:val="00F463A1"/>
    <w:rsid w:val="00F4707D"/>
    <w:rsid w:val="00F535F4"/>
    <w:rsid w:val="00F540C4"/>
    <w:rsid w:val="00F56541"/>
    <w:rsid w:val="00F61F18"/>
    <w:rsid w:val="00F65EB3"/>
    <w:rsid w:val="00F66273"/>
    <w:rsid w:val="00F76EC2"/>
    <w:rsid w:val="00F8104D"/>
    <w:rsid w:val="00F86311"/>
    <w:rsid w:val="00F921C6"/>
    <w:rsid w:val="00F930C6"/>
    <w:rsid w:val="00FA3EC0"/>
    <w:rsid w:val="00FB6B21"/>
    <w:rsid w:val="00FB70B1"/>
    <w:rsid w:val="00FB7435"/>
    <w:rsid w:val="00FB7AA9"/>
    <w:rsid w:val="00FC163E"/>
    <w:rsid w:val="00FC2D4E"/>
    <w:rsid w:val="00FD3F57"/>
    <w:rsid w:val="00FE1727"/>
    <w:rsid w:val="00FE5BAA"/>
    <w:rsid w:val="00FE7C26"/>
    <w:rsid w:val="00FF552C"/>
    <w:rsid w:val="00FF6584"/>
    <w:rsid w:val="00FF77F6"/>
    <w:rsid w:val="00FF7B1D"/>
    <w:rsid w:val="07844B53"/>
    <w:rsid w:val="10E306C0"/>
    <w:rsid w:val="1A426D25"/>
    <w:rsid w:val="1F846DA3"/>
    <w:rsid w:val="296C74E1"/>
    <w:rsid w:val="3259530D"/>
    <w:rsid w:val="394C56E6"/>
    <w:rsid w:val="399D69C5"/>
    <w:rsid w:val="3B223430"/>
    <w:rsid w:val="3B6A2AE8"/>
    <w:rsid w:val="3D983C10"/>
    <w:rsid w:val="411C1395"/>
    <w:rsid w:val="4E976184"/>
    <w:rsid w:val="54706DED"/>
    <w:rsid w:val="5528016B"/>
    <w:rsid w:val="5FC52010"/>
    <w:rsid w:val="6C046FB2"/>
    <w:rsid w:val="758F6230"/>
    <w:rsid w:val="7F7213C5"/>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qFormat/>
    <w:uiPriority w:val="99"/>
    <w:pPr>
      <w:tabs>
        <w:tab w:val="center" w:pos="4153"/>
        <w:tab w:val="right" w:pos="8306"/>
      </w:tabs>
      <w:snapToGrid w:val="0"/>
      <w:jc w:val="left"/>
    </w:pPr>
    <w:rPr>
      <w:sz w:val="18"/>
      <w:szCs w:val="18"/>
    </w:rPr>
  </w:style>
  <w:style w:type="paragraph" w:styleId="3">
    <w:name w:val="header"/>
    <w:basedOn w:val="1"/>
    <w:link w:val="9"/>
    <w:semiHidden/>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rPr>
  </w:style>
  <w:style w:type="character" w:styleId="7">
    <w:name w:val="Emphasis"/>
    <w:basedOn w:val="6"/>
    <w:qFormat/>
    <w:locked/>
    <w:uiPriority w:val="0"/>
    <w:rPr>
      <w:i/>
    </w:rPr>
  </w:style>
  <w:style w:type="character" w:customStyle="1" w:styleId="8">
    <w:name w:val="页脚 Char"/>
    <w:link w:val="2"/>
    <w:semiHidden/>
    <w:qFormat/>
    <w:locked/>
    <w:uiPriority w:val="99"/>
    <w:rPr>
      <w:rFonts w:cs="Times New Roman"/>
      <w:kern w:val="2"/>
      <w:sz w:val="18"/>
      <w:szCs w:val="18"/>
    </w:rPr>
  </w:style>
  <w:style w:type="character" w:customStyle="1" w:styleId="9">
    <w:name w:val="页眉 Char"/>
    <w:link w:val="3"/>
    <w:semiHidden/>
    <w:qFormat/>
    <w:locked/>
    <w:uiPriority w:val="99"/>
    <w:rPr>
      <w:rFonts w:cs="Times New Roman"/>
      <w:kern w:val="2"/>
      <w:sz w:val="18"/>
      <w:szCs w:val="18"/>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http://www.deepbbs.org</Company>
  <Pages>8</Pages>
  <Words>2060</Words>
  <Characters>2199</Characters>
  <Lines>16</Lines>
  <Paragraphs>4</Paragraphs>
  <TotalTime>6</TotalTime>
  <ScaleCrop>false</ScaleCrop>
  <LinksUpToDate>false</LinksUpToDate>
  <CharactersWithSpaces>2216</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2019-01-29T10:24:00Z</dcterms:created>
  <dc:creator>Administrator</dc:creator>
  <cp:lastModifiedBy>简简单单</cp:lastModifiedBy>
  <dcterms:modified xsi:type="dcterms:W3CDTF">2023-06-08T03:37:05Z</dcterms:modified>
  <dc:title>康平县悦明小学</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2D5EC0AD4EDA4255957EF2806CD6D07B_13</vt:lpwstr>
  </property>
</Properties>
</file>