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hint="eastAsia" w:ascii="宋体" w:hAnsi="宋体"/>
          <w:b/>
          <w:sz w:val="52"/>
          <w:szCs w:val="52"/>
        </w:rPr>
      </w:pPr>
    </w:p>
    <w:p>
      <w:pPr>
        <w:spacing w:line="540" w:lineRule="exact"/>
        <w:jc w:val="center"/>
        <w:rPr>
          <w:rFonts w:ascii="宋体" w:hAnsi="宋体"/>
          <w:b/>
          <w:sz w:val="52"/>
          <w:szCs w:val="52"/>
        </w:rPr>
      </w:pPr>
    </w:p>
    <w:p>
      <w:pPr>
        <w:spacing w:line="540" w:lineRule="exact"/>
        <w:jc w:val="center"/>
        <w:rPr>
          <w:rFonts w:ascii="宋体" w:hAnsi="宋体"/>
          <w:b/>
          <w:sz w:val="52"/>
          <w:szCs w:val="52"/>
        </w:rPr>
      </w:pPr>
    </w:p>
    <w:p>
      <w:pPr>
        <w:spacing w:line="540" w:lineRule="exact"/>
        <w:jc w:val="center"/>
        <w:rPr>
          <w:rFonts w:ascii="宋体" w:hAnsi="宋体"/>
          <w:b/>
          <w:sz w:val="52"/>
          <w:szCs w:val="52"/>
        </w:rPr>
      </w:pPr>
    </w:p>
    <w:p>
      <w:pPr>
        <w:spacing w:line="540" w:lineRule="exact"/>
        <w:jc w:val="center"/>
        <w:rPr>
          <w:rFonts w:ascii="宋体" w:hAnsi="宋体"/>
          <w:b/>
          <w:sz w:val="52"/>
          <w:szCs w:val="52"/>
        </w:rPr>
      </w:pPr>
    </w:p>
    <w:p>
      <w:pPr>
        <w:spacing w:line="540" w:lineRule="exact"/>
        <w:jc w:val="center"/>
        <w:rPr>
          <w:rFonts w:ascii="宋体" w:hAnsi="宋体"/>
          <w:b/>
          <w:sz w:val="52"/>
          <w:szCs w:val="52"/>
        </w:rPr>
      </w:pPr>
    </w:p>
    <w:p>
      <w:pPr>
        <w:spacing w:line="540" w:lineRule="exact"/>
        <w:jc w:val="center"/>
        <w:rPr>
          <w:rFonts w:ascii="宋体" w:hAnsi="宋体"/>
          <w:b/>
          <w:sz w:val="52"/>
          <w:szCs w:val="52"/>
        </w:rPr>
      </w:pPr>
    </w:p>
    <w:p>
      <w:pPr>
        <w:spacing w:line="540" w:lineRule="exact"/>
        <w:jc w:val="center"/>
        <w:rPr>
          <w:rFonts w:ascii="宋体" w:hAnsi="宋体"/>
          <w:b/>
          <w:sz w:val="52"/>
          <w:szCs w:val="52"/>
        </w:rPr>
      </w:pPr>
    </w:p>
    <w:p>
      <w:pPr>
        <w:spacing w:line="540" w:lineRule="exact"/>
        <w:jc w:val="center"/>
        <w:rPr>
          <w:rFonts w:ascii="宋体" w:hAnsi="宋体"/>
          <w:b/>
          <w:sz w:val="52"/>
          <w:szCs w:val="52"/>
        </w:rPr>
      </w:pPr>
    </w:p>
    <w:p>
      <w:pPr>
        <w:spacing w:line="540" w:lineRule="exact"/>
        <w:jc w:val="center"/>
        <w:rPr>
          <w:rFonts w:ascii="宋体" w:hAnsi="宋体"/>
          <w:b/>
          <w:sz w:val="52"/>
          <w:szCs w:val="52"/>
        </w:rPr>
      </w:pPr>
    </w:p>
    <w:p>
      <w:pPr>
        <w:spacing w:line="540" w:lineRule="exact"/>
        <w:jc w:val="center"/>
        <w:rPr>
          <w:rFonts w:ascii="宋体" w:hAnsi="宋体"/>
          <w:b/>
          <w:sz w:val="52"/>
          <w:szCs w:val="52"/>
        </w:rPr>
      </w:pPr>
    </w:p>
    <w:p>
      <w:pPr>
        <w:spacing w:line="540" w:lineRule="exact"/>
        <w:jc w:val="center"/>
        <w:rPr>
          <w:rFonts w:ascii="宋体" w:hAnsi="宋体"/>
          <w:b/>
          <w:sz w:val="52"/>
          <w:szCs w:val="52"/>
        </w:rPr>
      </w:pPr>
      <w:r>
        <w:rPr>
          <w:rFonts w:hint="eastAsia" w:ascii="宋体" w:hAnsi="宋体"/>
          <w:b/>
          <w:sz w:val="52"/>
          <w:szCs w:val="52"/>
        </w:rPr>
        <w:t>康平县人民法院2022年度部门预算</w:t>
      </w: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u w:val="single"/>
        </w:rPr>
      </w:pPr>
    </w:p>
    <w:p>
      <w:pPr>
        <w:spacing w:line="540" w:lineRule="exact"/>
        <w:jc w:val="center"/>
        <w:rPr>
          <w:b/>
          <w:sz w:val="44"/>
          <w:szCs w:val="44"/>
        </w:rPr>
      </w:pPr>
    </w:p>
    <w:p>
      <w:pPr>
        <w:spacing w:line="540" w:lineRule="exact"/>
        <w:jc w:val="center"/>
        <w:rPr>
          <w:b/>
          <w:sz w:val="44"/>
          <w:szCs w:val="44"/>
        </w:rPr>
      </w:pPr>
      <w:r>
        <w:rPr>
          <w:rFonts w:hint="eastAsia"/>
          <w:b/>
          <w:sz w:val="44"/>
          <w:szCs w:val="44"/>
        </w:rPr>
        <w:t>目    录</w:t>
      </w:r>
    </w:p>
    <w:p>
      <w:pPr>
        <w:spacing w:line="540" w:lineRule="exact"/>
        <w:rPr>
          <w:b/>
          <w:sz w:val="44"/>
          <w:szCs w:val="44"/>
          <w:u w:val="single"/>
        </w:rPr>
      </w:pPr>
    </w:p>
    <w:p>
      <w:pPr>
        <w:spacing w:line="540" w:lineRule="exact"/>
        <w:rPr>
          <w:rFonts w:ascii="黑体" w:hAnsi="黑体" w:eastAsia="黑体"/>
          <w:sz w:val="32"/>
          <w:szCs w:val="32"/>
        </w:rPr>
      </w:pPr>
      <w:r>
        <w:rPr>
          <w:rFonts w:hint="eastAsia" w:ascii="黑体" w:hAnsi="黑体" w:eastAsia="黑体"/>
          <w:sz w:val="32"/>
          <w:szCs w:val="32"/>
        </w:rPr>
        <w:t>第一部分    部门概况</w:t>
      </w:r>
    </w:p>
    <w:p>
      <w:pPr>
        <w:numPr>
          <w:ilvl w:val="0"/>
          <w:numId w:val="1"/>
        </w:numPr>
        <w:spacing w:line="540" w:lineRule="exact"/>
        <w:rPr>
          <w:rFonts w:ascii="仿宋_GB2312" w:hAnsi="黑体" w:eastAsia="仿宋_GB2312"/>
          <w:sz w:val="32"/>
          <w:szCs w:val="32"/>
        </w:rPr>
      </w:pPr>
      <w:r>
        <w:rPr>
          <w:rFonts w:hint="eastAsia" w:ascii="仿宋_GB2312" w:hAnsi="黑体" w:eastAsia="仿宋_GB2312"/>
          <w:sz w:val="32"/>
          <w:szCs w:val="32"/>
        </w:rPr>
        <w:t>主要职责</w:t>
      </w:r>
    </w:p>
    <w:p>
      <w:pPr>
        <w:numPr>
          <w:ilvl w:val="0"/>
          <w:numId w:val="1"/>
        </w:numPr>
        <w:spacing w:line="540" w:lineRule="exact"/>
        <w:rPr>
          <w:rFonts w:ascii="仿宋_GB2312" w:hAnsi="黑体" w:eastAsia="仿宋_GB2312"/>
          <w:sz w:val="32"/>
          <w:szCs w:val="32"/>
        </w:rPr>
      </w:pPr>
      <w:r>
        <w:rPr>
          <w:rFonts w:hint="eastAsia" w:ascii="仿宋_GB2312" w:hAnsi="黑体" w:eastAsia="仿宋_GB2312"/>
          <w:sz w:val="32"/>
          <w:szCs w:val="32"/>
        </w:rPr>
        <w:t>机构设置</w:t>
      </w:r>
    </w:p>
    <w:p>
      <w:pPr>
        <w:spacing w:line="540" w:lineRule="exact"/>
        <w:rPr>
          <w:rFonts w:ascii="黑体" w:hAnsi="黑体" w:eastAsia="黑体"/>
          <w:sz w:val="32"/>
          <w:szCs w:val="32"/>
        </w:rPr>
      </w:pPr>
      <w:r>
        <w:rPr>
          <w:rFonts w:hint="eastAsia" w:ascii="黑体" w:hAnsi="黑体" w:eastAsia="黑体"/>
          <w:sz w:val="32"/>
          <w:szCs w:val="32"/>
        </w:rPr>
        <w:t>第二部分    2022年度部门预算情况说明</w:t>
      </w:r>
    </w:p>
    <w:p>
      <w:pPr>
        <w:spacing w:line="540" w:lineRule="exact"/>
        <w:rPr>
          <w:rFonts w:ascii="仿宋_GB2312" w:eastAsia="仿宋_GB2312"/>
          <w:sz w:val="32"/>
          <w:szCs w:val="32"/>
        </w:rPr>
      </w:pPr>
      <w:r>
        <w:rPr>
          <w:rFonts w:hint="eastAsia" w:ascii="仿宋_GB2312" w:eastAsia="仿宋_GB2312"/>
          <w:sz w:val="32"/>
          <w:szCs w:val="32"/>
        </w:rPr>
        <w:t>一、收入支出预算总体情况说明</w:t>
      </w:r>
    </w:p>
    <w:p>
      <w:pPr>
        <w:spacing w:line="540" w:lineRule="exact"/>
        <w:rPr>
          <w:rFonts w:ascii="仿宋_GB2312" w:eastAsia="仿宋_GB2312"/>
          <w:sz w:val="32"/>
          <w:szCs w:val="32"/>
        </w:rPr>
      </w:pPr>
      <w:r>
        <w:rPr>
          <w:rFonts w:hint="eastAsia" w:ascii="仿宋_GB2312" w:eastAsia="仿宋_GB2312"/>
          <w:sz w:val="32"/>
          <w:szCs w:val="32"/>
        </w:rPr>
        <w:t>二、财政拨款收入支出预算情况说明</w:t>
      </w:r>
    </w:p>
    <w:p>
      <w:pPr>
        <w:spacing w:line="540" w:lineRule="exact"/>
        <w:rPr>
          <w:rFonts w:ascii="仿宋_GB2312" w:eastAsia="仿宋_GB2312"/>
          <w:sz w:val="32"/>
          <w:szCs w:val="32"/>
        </w:rPr>
      </w:pPr>
      <w:r>
        <w:rPr>
          <w:rFonts w:hint="eastAsia" w:ascii="仿宋_GB2312" w:eastAsia="仿宋_GB2312"/>
          <w:sz w:val="32"/>
          <w:szCs w:val="32"/>
        </w:rPr>
        <w:t>三、一般公共预算财政拨款“三公”经费支出预算情况说明</w:t>
      </w:r>
    </w:p>
    <w:p>
      <w:pPr>
        <w:spacing w:line="540" w:lineRule="exact"/>
        <w:rPr>
          <w:rFonts w:ascii="仿宋_GB2312" w:eastAsia="仿宋_GB2312"/>
          <w:sz w:val="32"/>
          <w:szCs w:val="32"/>
        </w:rPr>
      </w:pPr>
      <w:r>
        <w:rPr>
          <w:rFonts w:hint="eastAsia" w:ascii="仿宋_GB2312" w:eastAsia="仿宋_GB2312"/>
          <w:sz w:val="32"/>
          <w:szCs w:val="32"/>
        </w:rPr>
        <w:t>四、一般公共预算财政拨款基本支出预算情况说明</w:t>
      </w:r>
    </w:p>
    <w:p>
      <w:pPr>
        <w:spacing w:line="540" w:lineRule="exact"/>
        <w:rPr>
          <w:rFonts w:ascii="仿宋_GB2312" w:eastAsia="仿宋_GB2312"/>
          <w:sz w:val="32"/>
          <w:szCs w:val="32"/>
        </w:rPr>
      </w:pPr>
      <w:r>
        <w:rPr>
          <w:rFonts w:hint="eastAsia" w:ascii="仿宋_GB2312" w:eastAsia="仿宋_GB2312"/>
          <w:sz w:val="32"/>
          <w:szCs w:val="32"/>
        </w:rPr>
        <w:t>五、其他重要事项的情况说明</w:t>
      </w:r>
    </w:p>
    <w:p>
      <w:pPr>
        <w:spacing w:line="540" w:lineRule="exact"/>
        <w:rPr>
          <w:rFonts w:ascii="黑体" w:hAnsi="黑体" w:eastAsia="黑体"/>
          <w:sz w:val="32"/>
          <w:szCs w:val="32"/>
        </w:rPr>
      </w:pPr>
      <w:r>
        <w:rPr>
          <w:rFonts w:hint="eastAsia" w:ascii="黑体" w:hAnsi="黑体" w:eastAsia="黑体"/>
          <w:sz w:val="32"/>
          <w:szCs w:val="32"/>
        </w:rPr>
        <w:t>第三部分    名词解释</w:t>
      </w:r>
    </w:p>
    <w:p>
      <w:pPr>
        <w:spacing w:line="540" w:lineRule="exact"/>
        <w:rPr>
          <w:rFonts w:ascii="黑体" w:hAnsi="黑体" w:eastAsia="黑体"/>
          <w:sz w:val="32"/>
          <w:szCs w:val="32"/>
        </w:rPr>
      </w:pPr>
      <w:r>
        <w:rPr>
          <w:rFonts w:hint="eastAsia" w:ascii="黑体" w:hAnsi="黑体" w:eastAsia="黑体"/>
          <w:sz w:val="32"/>
          <w:szCs w:val="32"/>
        </w:rPr>
        <w:t>第四部分    2022年度部门预算报表</w:t>
      </w:r>
    </w:p>
    <w:p>
      <w:pPr>
        <w:spacing w:line="540" w:lineRule="exact"/>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收入支出预算总表</w:t>
      </w:r>
    </w:p>
    <w:p>
      <w:pPr>
        <w:spacing w:line="540" w:lineRule="exact"/>
        <w:rPr>
          <w:rFonts w:ascii="仿宋_GB2312" w:eastAsia="仿宋_GB2312"/>
          <w:sz w:val="32"/>
          <w:szCs w:val="32"/>
        </w:rPr>
      </w:pPr>
      <w:r>
        <w:rPr>
          <w:rFonts w:hint="eastAsia" w:ascii="仿宋_GB2312" w:eastAsia="仿宋_GB2312"/>
          <w:sz w:val="32"/>
          <w:szCs w:val="32"/>
        </w:rPr>
        <w:t>二、收入预算表</w:t>
      </w:r>
    </w:p>
    <w:p>
      <w:pPr>
        <w:spacing w:line="540" w:lineRule="exact"/>
        <w:rPr>
          <w:rFonts w:ascii="仿宋_GB2312" w:eastAsia="仿宋_GB2312"/>
          <w:sz w:val="32"/>
          <w:szCs w:val="32"/>
        </w:rPr>
      </w:pPr>
      <w:r>
        <w:rPr>
          <w:rFonts w:hint="eastAsia" w:ascii="仿宋_GB2312" w:eastAsia="仿宋_GB2312"/>
          <w:sz w:val="32"/>
          <w:szCs w:val="32"/>
        </w:rPr>
        <w:t>三、支出预算表</w:t>
      </w:r>
    </w:p>
    <w:p>
      <w:pPr>
        <w:spacing w:line="540" w:lineRule="exact"/>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财政拨款收入支出预算表</w:t>
      </w:r>
    </w:p>
    <w:p>
      <w:pPr>
        <w:spacing w:line="540" w:lineRule="exact"/>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w:t>
      </w:r>
      <w:r>
        <w:rPr>
          <w:rFonts w:hint="eastAsia" w:ascii="仿宋_GB2312" w:eastAsia="仿宋_GB2312"/>
          <w:sz w:val="32"/>
          <w:szCs w:val="32"/>
        </w:rPr>
        <w:t>预算</w:t>
      </w:r>
      <w:r>
        <w:rPr>
          <w:rFonts w:ascii="仿宋_GB2312" w:eastAsia="仿宋_GB2312"/>
          <w:sz w:val="32"/>
          <w:szCs w:val="32"/>
        </w:rPr>
        <w:t>表</w:t>
      </w:r>
    </w:p>
    <w:p>
      <w:pPr>
        <w:spacing w:line="540" w:lineRule="exact"/>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基本支出预算</w:t>
      </w:r>
      <w:r>
        <w:rPr>
          <w:rFonts w:ascii="仿宋_GB2312" w:eastAsia="仿宋_GB2312"/>
          <w:sz w:val="32"/>
          <w:szCs w:val="32"/>
        </w:rPr>
        <w:t>表</w:t>
      </w:r>
    </w:p>
    <w:p>
      <w:pPr>
        <w:spacing w:line="540" w:lineRule="exact"/>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政府性基金预算财政拨款支出</w:t>
      </w:r>
      <w:r>
        <w:rPr>
          <w:rFonts w:hint="eastAsia" w:ascii="仿宋_GB2312" w:eastAsia="仿宋_GB2312"/>
          <w:sz w:val="32"/>
          <w:szCs w:val="32"/>
        </w:rPr>
        <w:t>预算</w:t>
      </w:r>
      <w:r>
        <w:rPr>
          <w:rFonts w:ascii="仿宋_GB2312" w:eastAsia="仿宋_GB2312"/>
          <w:sz w:val="32"/>
          <w:szCs w:val="32"/>
        </w:rPr>
        <w:t>表</w:t>
      </w:r>
    </w:p>
    <w:p>
      <w:pPr>
        <w:spacing w:line="540" w:lineRule="exact"/>
        <w:ind w:left="640" w:hanging="640" w:hangingChars="200"/>
        <w:rPr>
          <w:rFonts w:ascii="仿宋_GB2312" w:eastAsia="仿宋_GB2312"/>
          <w:sz w:val="32"/>
          <w:szCs w:val="32"/>
        </w:rPr>
      </w:pPr>
      <w:r>
        <w:rPr>
          <w:rFonts w:hint="eastAsia" w:ascii="仿宋_GB2312" w:eastAsia="仿宋_GB2312"/>
          <w:sz w:val="32"/>
          <w:szCs w:val="32"/>
        </w:rPr>
        <w:t>八、一般公共预算财政拨款“三公”经费支出预算表</w:t>
      </w:r>
    </w:p>
    <w:p>
      <w:pPr>
        <w:spacing w:line="540" w:lineRule="exact"/>
        <w:ind w:left="640" w:hanging="640" w:hangingChars="200"/>
        <w:rPr>
          <w:rFonts w:ascii="仿宋_GB2312" w:eastAsia="仿宋_GB2312"/>
          <w:sz w:val="32"/>
          <w:szCs w:val="32"/>
        </w:rPr>
      </w:pPr>
      <w:r>
        <w:rPr>
          <w:rFonts w:hint="eastAsia" w:ascii="仿宋_GB2312" w:eastAsia="仿宋_GB2312"/>
          <w:sz w:val="32"/>
          <w:szCs w:val="32"/>
        </w:rPr>
        <w:t>九、国有资本经营预算财政拨款支出预算表</w:t>
      </w:r>
    </w:p>
    <w:p>
      <w:pPr>
        <w:spacing w:line="540" w:lineRule="exact"/>
        <w:jc w:val="center"/>
        <w:rPr>
          <w:rFonts w:ascii="黑体" w:hAnsi="黑体" w:eastAsia="黑体"/>
          <w:b/>
          <w:sz w:val="44"/>
          <w:szCs w:val="44"/>
          <w:u w:val="single"/>
        </w:rPr>
      </w:pPr>
    </w:p>
    <w:p>
      <w:pPr>
        <w:spacing w:line="540" w:lineRule="exact"/>
        <w:jc w:val="center"/>
        <w:rPr>
          <w:rFonts w:ascii="宋体" w:hAnsi="宋体"/>
          <w:b/>
          <w:sz w:val="36"/>
          <w:szCs w:val="36"/>
        </w:rPr>
      </w:pPr>
      <w:r>
        <w:rPr>
          <w:rFonts w:hint="eastAsia"/>
          <w:b/>
          <w:sz w:val="44"/>
          <w:szCs w:val="44"/>
          <w:u w:val="single"/>
        </w:rPr>
        <w:br w:type="page"/>
      </w:r>
      <w:r>
        <w:rPr>
          <w:rFonts w:hint="eastAsia" w:ascii="宋体" w:hAnsi="宋体"/>
          <w:b/>
          <w:sz w:val="36"/>
          <w:szCs w:val="36"/>
        </w:rPr>
        <w:t>第一部分 部门概况</w:t>
      </w:r>
    </w:p>
    <w:p>
      <w:pPr>
        <w:spacing w:line="540" w:lineRule="exact"/>
        <w:ind w:firstLine="640" w:firstLineChars="200"/>
        <w:jc w:val="left"/>
        <w:rPr>
          <w:rFonts w:ascii="黑体" w:eastAsia="黑体"/>
          <w:sz w:val="32"/>
          <w:szCs w:val="32"/>
        </w:rPr>
      </w:pPr>
    </w:p>
    <w:p>
      <w:pPr>
        <w:spacing w:line="540" w:lineRule="exact"/>
        <w:ind w:firstLine="640" w:firstLineChars="200"/>
        <w:jc w:val="left"/>
        <w:rPr>
          <w:rFonts w:ascii="黑体" w:eastAsia="黑体"/>
          <w:sz w:val="32"/>
          <w:szCs w:val="32"/>
        </w:rPr>
      </w:pPr>
      <w:r>
        <w:rPr>
          <w:rFonts w:hint="eastAsia" w:ascii="黑体" w:eastAsia="黑体"/>
          <w:sz w:val="32"/>
          <w:szCs w:val="32"/>
        </w:rPr>
        <w:t>一、主要职责</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一）深入贯彻习近平新时代中国特色社会主义思想，深入贯彻党的路线方针政策和决策部署，坚持党对法院工作的绝对领导，坚决维护习近平总书记党中央的核心、全党的核心地位，坚决维护党中央权威和集中统一领导，贯彻落实党委工作部署和要求。</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（二）依法审理本院管辖的第一审刑事、民事、行政等案件和上级人民法院指定审理的案件。</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（三）依法按审判监督程序审理各类再审案件。</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（四）办理本院为赔偿义务机关的国家赔偿案件。</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（五）对案件审理中发现的问题提出司法建议。</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（六）依法执行本院发生法律效力的裁判文书以及法律规定应当由本院执行的其他法律文书。</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（七）负责本院思想政治、教育培训、新闻宣传、监察等工作，按照干部管理权限管理法官和其他人员。</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（八）对人民调解委员会的调解工作进行业务指导。</w:t>
      </w:r>
    </w:p>
    <w:p>
      <w:pPr>
        <w:spacing w:line="540" w:lineRule="exact"/>
        <w:ind w:firstLine="640" w:firstLineChars="200"/>
        <w:rPr>
          <w:rFonts w:ascii="楷体" w:hAnsi="楷体" w:eastAsia="楷体" w:cs="仿宋_GB2312"/>
          <w:b/>
          <w:sz w:val="32"/>
          <w:szCs w:val="32"/>
        </w:rPr>
      </w:pPr>
      <w:r>
        <w:rPr>
          <w:rFonts w:hint="eastAsia" w:ascii="仿宋" w:hAnsi="仿宋" w:eastAsia="仿宋" w:cs="仿宋"/>
          <w:sz w:val="32"/>
          <w:szCs w:val="32"/>
        </w:rPr>
        <w:t>（九）负责其他应当由本院承办的事项。</w:t>
      </w:r>
    </w:p>
    <w:p>
      <w:pPr>
        <w:spacing w:line="540" w:lineRule="exact"/>
        <w:ind w:firstLine="640" w:firstLineChars="200"/>
        <w:jc w:val="left"/>
        <w:rPr>
          <w:rFonts w:ascii="黑体" w:eastAsia="黑体"/>
          <w:sz w:val="32"/>
          <w:szCs w:val="32"/>
        </w:rPr>
      </w:pPr>
      <w:r>
        <w:rPr>
          <w:rFonts w:hint="eastAsia" w:ascii="黑体" w:eastAsia="黑体"/>
          <w:sz w:val="32"/>
          <w:szCs w:val="32"/>
        </w:rPr>
        <w:t>二、机构设置</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康平县人民法院设内设机构7个。</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（一） 立案庭（诉讼服务中心）</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负责各类案件的登记立案、信访接待，当事人起诉到法院的各类矛盾纠纷的多元化解，参与社会综合治理，职能范围内的诉讼引导、普法宣传、调研、信息、司法建议等工作。</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（二）刑事审判庭</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负责审理刑事、涉未成年人刑事犯罪；参与扫黑除恶等专项斗争工作；参与中小学的法制教育和宣传工作及社会治安综合治理；负责职能范围内的宣传、调研、信息、司法建议等工作。</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（三）民事审判庭</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负责审理民商事案件；申诉、再审、破产审判、国家赔偿、人民检察院提起抗诉等案件；审查行政非诉案件、执行异议、执行异议之诉；办理其它与上述案件相关审判工作事宜，负责职能范围内的宣传、调研、信息、司法建议等工作。</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（四）执行局（执行指挥中心）</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负责本院管辖执行案件、受托执行案件的执行；评估被执行财产及拍卖；负责执行案件中信访接待；诉讼保全；办理其它有关执行工作事宜，负责职能范围内的宣传、调研、信息、司法建议等工作。</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（五）审判管理办公室</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负责本院审判流程管理工作、审判委员会的组织安排、案件质量评查、办案质效考核、司法统计、司法公开、舆情管理、新闻宣传等工作；负责本院人大报告工作及调研文章、材料、信息撰写等综合文稿等工作。</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（六）政治部（机关党总支办公室）</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负责干部人事管理、工资福利、表彰奖励、教育培训、绩效考核等人事工作；负责代表、委员联络等工作；负责党员发展、教育学习、党建活动及民主生活会、</w:t>
      </w:r>
      <w:r>
        <w:rPr>
          <w:rFonts w:hint="eastAsia" w:ascii="仿宋" w:hAnsi="仿宋" w:eastAsia="仿宋" w:cs="仿宋"/>
          <w:sz w:val="32"/>
          <w:szCs w:val="32"/>
          <w:lang w:eastAsia="zh-CN"/>
        </w:rPr>
        <w:t>理论学习中心组</w:t>
      </w:r>
      <w:r>
        <w:rPr>
          <w:rFonts w:hint="eastAsia" w:ascii="仿宋" w:hAnsi="仿宋" w:eastAsia="仿宋" w:cs="仿宋"/>
          <w:sz w:val="32"/>
          <w:szCs w:val="32"/>
        </w:rPr>
        <w:t>学习等会议记录、材料撰写等党建工作；负责合同制人员招录、管理、培训、工资、辞退等工作；负责离退休老干部的管理服务工作及人民陪审员等工作。</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（七）综合办公室（司法警察大队）</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负责文秘、文印、印鉴使用、管理等工作；负责车辆管理工作；负责食堂、装备、固定资产、设备维修等后勤服务保障工作；负责财务工作及信息化建设等工作； 负责全院安保、值庭、被告人押解工作、参与执行等工作；办理其它相关工作，负责职能范围内的宣传、调研、信息等工作。</w:t>
      </w:r>
    </w:p>
    <w:p>
      <w:pPr>
        <w:widowControl/>
        <w:jc w:val="center"/>
        <w:rPr>
          <w:rFonts w:cs="宋体" w:asciiTheme="minorEastAsia" w:hAnsiTheme="minorEastAsia" w:eastAsiaTheme="minorEastAsia"/>
          <w:color w:val="auto"/>
          <w:kern w:val="0"/>
          <w:sz w:val="48"/>
          <w:szCs w:val="48"/>
        </w:rPr>
      </w:pPr>
      <w:r>
        <w:rPr>
          <w:rFonts w:ascii="仿宋_GB2312" w:eastAsia="仿宋_GB2312"/>
          <w:sz w:val="32"/>
          <w:szCs w:val="32"/>
        </w:rPr>
        <w:br w:type="page"/>
      </w:r>
      <w:r>
        <w:rPr>
          <w:rFonts w:cs="宋体" w:asciiTheme="minorEastAsia" w:hAnsiTheme="minorEastAsia" w:eastAsiaTheme="minorEastAsia"/>
          <w:iCs/>
          <w:color w:val="auto"/>
          <w:kern w:val="0"/>
          <w:sz w:val="48"/>
          <w:szCs w:val="48"/>
        </w:rPr>
        <w:t>康平县人民法院202</w:t>
      </w:r>
      <w:r>
        <w:rPr>
          <w:rFonts w:hint="eastAsia" w:cs="宋体" w:asciiTheme="minorEastAsia" w:hAnsiTheme="minorEastAsia" w:eastAsiaTheme="minorEastAsia"/>
          <w:iCs/>
          <w:color w:val="auto"/>
          <w:kern w:val="0"/>
          <w:sz w:val="48"/>
          <w:szCs w:val="48"/>
        </w:rPr>
        <w:t>2</w:t>
      </w:r>
      <w:r>
        <w:rPr>
          <w:rFonts w:cs="宋体" w:asciiTheme="minorEastAsia" w:hAnsiTheme="minorEastAsia" w:eastAsiaTheme="minorEastAsia"/>
          <w:iCs/>
          <w:color w:val="auto"/>
          <w:kern w:val="0"/>
          <w:sz w:val="48"/>
          <w:szCs w:val="48"/>
        </w:rPr>
        <w:t>年预算公开说明</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一、部门主要职责及机构设置情况</w:t>
      </w:r>
    </w:p>
    <w:p>
      <w:pPr>
        <w:widowControl/>
        <w:spacing w:before="100" w:beforeAutospacing="1" w:after="100" w:afterAutospacing="1" w:line="360" w:lineRule="atLeast"/>
        <w:ind w:firstLine="480"/>
        <w:jc w:val="left"/>
        <w:rPr>
          <w:rFonts w:cs="宋体" w:asciiTheme="minorEastAsia" w:hAnsiTheme="minorEastAsia" w:eastAsiaTheme="minorEastAsia"/>
          <w:iCs/>
          <w:color w:val="auto"/>
          <w:kern w:val="0"/>
          <w:sz w:val="32"/>
          <w:szCs w:val="32"/>
        </w:rPr>
      </w:pPr>
      <w:r>
        <w:rPr>
          <w:rFonts w:hint="eastAsia" w:cs="宋体" w:asciiTheme="minorEastAsia" w:hAnsiTheme="minorEastAsia" w:eastAsiaTheme="minorEastAsia"/>
          <w:iCs/>
          <w:color w:val="auto"/>
          <w:kern w:val="0"/>
          <w:sz w:val="32"/>
          <w:szCs w:val="32"/>
        </w:rPr>
        <w:t>主要职责：负责审理案件,解决基本民事、行政、刑事案件纠纷。</w:t>
      </w:r>
    </w:p>
    <w:p>
      <w:pPr>
        <w:widowControl/>
        <w:spacing w:before="100" w:beforeAutospacing="1" w:after="100" w:afterAutospacing="1" w:line="360" w:lineRule="atLeast"/>
        <w:ind w:firstLine="480"/>
        <w:jc w:val="left"/>
        <w:rPr>
          <w:rFonts w:cs="宋体" w:asciiTheme="minorEastAsia" w:hAnsiTheme="minorEastAsia" w:eastAsiaTheme="minorEastAsia"/>
          <w:iCs/>
          <w:color w:val="auto"/>
          <w:kern w:val="0"/>
          <w:sz w:val="32"/>
          <w:szCs w:val="32"/>
        </w:rPr>
      </w:pPr>
      <w:r>
        <w:rPr>
          <w:rFonts w:hint="eastAsia" w:cs="宋体" w:asciiTheme="minorEastAsia" w:hAnsiTheme="minorEastAsia" w:eastAsiaTheme="minorEastAsia"/>
          <w:iCs/>
          <w:color w:val="auto"/>
          <w:kern w:val="0"/>
          <w:sz w:val="32"/>
          <w:szCs w:val="32"/>
        </w:rPr>
        <w:t>康平县人民法院9个科室（部），综合办公室（司法警察大队）、立案庭（诉讼服务中心）、刑事审判庭、民事审判庭、执行局（执行指挥中心）、审判管理办公室（研究室）、政治部（机关党总支办公室）、康平县人民法院设2个派出法庭：张强人民法庭、北四家子人民法庭。</w:t>
      </w:r>
    </w:p>
    <w:p>
      <w:pPr>
        <w:widowControl/>
        <w:spacing w:before="100" w:beforeAutospacing="1" w:after="100" w:afterAutospacing="1" w:line="360" w:lineRule="atLeast"/>
        <w:ind w:firstLine="480"/>
        <w:jc w:val="left"/>
        <w:rPr>
          <w:rFonts w:cs="宋体" w:asciiTheme="minorEastAsia" w:hAnsiTheme="minorEastAsia" w:eastAsiaTheme="minorEastAsia"/>
          <w:iCs/>
          <w:color w:val="auto"/>
          <w:kern w:val="0"/>
          <w:sz w:val="32"/>
          <w:szCs w:val="32"/>
        </w:rPr>
      </w:pPr>
      <w:r>
        <w:rPr>
          <w:rFonts w:hint="eastAsia" w:cs="宋体" w:asciiTheme="minorEastAsia" w:hAnsiTheme="minorEastAsia" w:eastAsiaTheme="minorEastAsia"/>
          <w:iCs/>
          <w:color w:val="auto"/>
          <w:kern w:val="0"/>
          <w:sz w:val="32"/>
          <w:szCs w:val="32"/>
        </w:rPr>
        <w:t>康平县人民法院政法专项编制71名。设院长1名（副处级）；副院长2名（副科级），其中分管日常工作的副院长1名（正科级）；政治部主任1名（副科级）；审判委员会专职委员2名（副科级）；内设机构正职9名，副职11名（含机关党总支专职副书记1名）。</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二、预算收支增减变化情况</w:t>
      </w:r>
    </w:p>
    <w:p>
      <w:pPr>
        <w:pStyle w:val="3"/>
        <w:spacing w:before="225" w:beforeAutospacing="0" w:after="375" w:afterAutospacing="0" w:line="315" w:lineRule="atLeast"/>
        <w:ind w:firstLine="42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iCs/>
          <w:color w:val="000000" w:themeColor="text1"/>
          <w:sz w:val="32"/>
          <w:szCs w:val="32"/>
          <w14:textFill>
            <w14:solidFill>
              <w14:schemeClr w14:val="tx1"/>
            </w14:solidFill>
          </w14:textFill>
        </w:rPr>
        <w:t>2022年度财政拨款预算1728.75万元，比上年增多775.1万元。主要原因：由于人员，案件数量有所增加，导致人员经费和差旅费有所增多。</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三、机关运行费安排情况</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机关运行费安排情况：173.5万元。主要用于行政和办案支出。</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四、政府采购安排情况</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预算未安排政府采购。</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五、“三公”经费增减变化原因等情况说明</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2022年“三公</w:t>
      </w:r>
      <w:r>
        <w:rPr>
          <w:rFonts w:hint="eastAsia" w:cs="宋体" w:asciiTheme="minorEastAsia" w:hAnsiTheme="minorEastAsia" w:eastAsiaTheme="minorEastAsia"/>
          <w:iCs/>
          <w:color w:val="auto"/>
          <w:kern w:val="0"/>
          <w:sz w:val="32"/>
          <w:szCs w:val="32"/>
        </w:rPr>
        <w:t>”</w:t>
      </w:r>
      <w:r>
        <w:rPr>
          <w:rFonts w:hint="eastAsia" w:cs="宋体" w:asciiTheme="minorEastAsia" w:hAnsiTheme="minorEastAsia" w:eastAsiaTheme="minorEastAsia"/>
          <w:iCs/>
          <w:color w:val="auto"/>
          <w:kern w:val="0"/>
          <w:sz w:val="32"/>
          <w:szCs w:val="32"/>
        </w:rPr>
        <w:t>经费因公出国（境）费无、公务接待费0.5万元，只有公务车辆运行费85万元，与上年相比经费增加5.5万元，因有部分车辆老化，维修费增加，又新增一台囚车，导致公务车辆运行维护费增加。</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六、预算绩效情况</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本年不涉及民生项目和重大支出项目无绩效评价情况公开。</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七、国有资产占用使用情况</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无国有资产占用情况</w:t>
      </w:r>
      <w:bookmarkStart w:id="0" w:name="_GoBack"/>
      <w:bookmarkEnd w:id="0"/>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八、名词解释</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1.财政拨款收入：指市级财政当年拨付的资金。</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2.上级补助收入：指事业单位从主管部门和上级单位取得的非财政补助收入。</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3.附属单位上缴收入：指已纳入部门预算管理的独立核算的附属单位按照有关规定上缴的收入。</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4. 其他收入：指除上述“财政拨款收入”、“纳入专户管理的预算外资金拨款”、“上级补助、附属单位上缴收入”以外的收入。</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5.一般公共服务（类）财政事务（款）行政运行（项）：反映行政单位（包括实行公务员管理的事业单位）的基本支出。</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6.一般公共服务（类）财政事务（款）一般行政管理事务（项）：反映行政单位（包括实行公务员管理的事业单位）未单独设置项级科目的其他项目支出。</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7.一般公共服务（类）财政事务（款）预算改革业务（项）：反映财政部门用于预算改革方面的支出。</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8.一般公共服务（类）财政事务（款）财政国库业务（项）：反映财政部门用于财政国库集中收付业务方面的支出。</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9.一般公共服务（类）财政事务（款）事业运行（项）：反映事业单位的基本支出，不包括行政单位（包括实行公务员管理的事业单位）后勤服务中心、医务室等附属事业单位。</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10.一般公共服务（类）财政事务（款）其他财政事务支出（项）：反映除上述项目以外其他财政事务方面的支出。</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11.社会保障和就业（类）行政事业单位离退休（款）归口管理的行政单位离退休（项）：反映实行归口管理的行政单位（包括实行公务员管理的事业单位）开支的离退休经费。</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12.社会保障和就业（类）行政事业单位离退休（款）事业单位离退休（项）：反映实行归口管理的事业单位开支的离退休经费。</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15.住房保障（类）住房改革（款）住房公积金（项）：反映行政事业单位按人力资源和社会保障部、财政部规定的基本工资和津贴补贴以及规定比例为职工缴纳的住房公积金。</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16. 基本支出：指保障机构正常运转、完成日常工作任务而发生的人员支出和公用支出。</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17. 项目支出：指在基本支出之外为完成特定行政任务和事业发展目标所发生的支出。</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widowControl/>
        <w:spacing w:before="100" w:beforeAutospacing="1" w:after="100" w:afterAutospacing="1" w:line="360" w:lineRule="atLeast"/>
        <w:ind w:firstLine="480"/>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iCs/>
          <w:color w:val="auto"/>
          <w:kern w:val="0"/>
          <w:sz w:val="32"/>
          <w:szCs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widowControl/>
        <w:spacing w:before="100" w:beforeAutospacing="1" w:after="100" w:afterAutospacing="1" w:line="360" w:lineRule="atLeast"/>
        <w:jc w:val="left"/>
        <w:rPr>
          <w:rFonts w:cs="宋体" w:asciiTheme="minorEastAsia" w:hAnsiTheme="minorEastAsia" w:eastAsiaTheme="minorEastAsia"/>
          <w:color w:val="auto"/>
          <w:kern w:val="0"/>
          <w:sz w:val="32"/>
          <w:szCs w:val="32"/>
        </w:rPr>
      </w:pPr>
      <w:r>
        <w:rPr>
          <w:rFonts w:hint="eastAsia" w:cs="宋体" w:asciiTheme="minorEastAsia" w:hAnsiTheme="minorEastAsia" w:eastAsiaTheme="minorEastAsia"/>
          <w:color w:val="auto"/>
          <w:kern w:val="0"/>
          <w:sz w:val="32"/>
          <w:szCs w:val="32"/>
        </w:rPr>
        <w:t> </w:t>
      </w:r>
    </w:p>
    <w:p>
      <w:pPr>
        <w:rPr>
          <w:rFonts w:asciiTheme="minorEastAsia" w:hAnsiTheme="minorEastAsia" w:eastAsiaTheme="minorEastAsia"/>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hYzBiZTg4NDI2MGJkOWEwYzVmNjI0ZDFjYjQyMWEifQ=="/>
  </w:docVars>
  <w:rsids>
    <w:rsidRoot w:val="00BE0B6F"/>
    <w:rsid w:val="00161C8A"/>
    <w:rsid w:val="00350D73"/>
    <w:rsid w:val="007619DF"/>
    <w:rsid w:val="008D6CCA"/>
    <w:rsid w:val="00977891"/>
    <w:rsid w:val="00AD6D29"/>
    <w:rsid w:val="00AF163C"/>
    <w:rsid w:val="00BE0B6F"/>
    <w:rsid w:val="00F90CAA"/>
    <w:rsid w:val="1772678E"/>
    <w:rsid w:val="178F14E4"/>
    <w:rsid w:val="31B71515"/>
    <w:rsid w:val="32261B46"/>
    <w:rsid w:val="3DFE585B"/>
    <w:rsid w:val="48852988"/>
    <w:rsid w:val="4FF04118"/>
    <w:rsid w:val="551846BF"/>
    <w:rsid w:val="55546FB2"/>
    <w:rsid w:val="586C4F77"/>
    <w:rsid w:val="5A7B72A0"/>
    <w:rsid w:val="741A1F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宋体" w:cs="Arial"/>
      <w:color w:val="333333"/>
      <w:kern w:val="2"/>
      <w:sz w:val="25"/>
      <w:szCs w:val="25"/>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Normal (Web)"/>
    <w:basedOn w:val="1"/>
    <w:semiHidden/>
    <w:unhideWhenUsed/>
    <w:qFormat/>
    <w:uiPriority w:val="99"/>
    <w:pPr>
      <w:widowControl/>
      <w:spacing w:before="100" w:beforeAutospacing="1" w:after="100" w:afterAutospacing="1"/>
      <w:jc w:val="left"/>
    </w:pPr>
    <w:rPr>
      <w:rFonts w:ascii="宋体" w:hAnsi="宋体" w:cs="宋体"/>
      <w:color w:val="auto"/>
      <w:kern w:val="0"/>
      <w:sz w:val="24"/>
      <w:szCs w:val="24"/>
    </w:rPr>
  </w:style>
  <w:style w:type="character" w:styleId="6">
    <w:name w:val="FollowedHyperlink"/>
    <w:basedOn w:val="5"/>
    <w:semiHidden/>
    <w:unhideWhenUsed/>
    <w:qFormat/>
    <w:uiPriority w:val="99"/>
    <w:rPr>
      <w:color w:val="333333"/>
      <w:u w:val="none"/>
    </w:rPr>
  </w:style>
  <w:style w:type="character" w:styleId="7">
    <w:name w:val="Emphasis"/>
    <w:basedOn w:val="5"/>
    <w:qFormat/>
    <w:uiPriority w:val="20"/>
    <w:rPr>
      <w:i/>
      <w:iCs/>
    </w:rPr>
  </w:style>
  <w:style w:type="character" w:styleId="8">
    <w:name w:val="Hyperlink"/>
    <w:basedOn w:val="5"/>
    <w:semiHidden/>
    <w:unhideWhenUsed/>
    <w:qFormat/>
    <w:uiPriority w:val="99"/>
    <w:rPr>
      <w:color w:val="333333"/>
      <w:u w:val="none"/>
    </w:rPr>
  </w:style>
  <w:style w:type="character" w:customStyle="1" w:styleId="9">
    <w:name w:val="批注框文本 Char"/>
    <w:basedOn w:val="5"/>
    <w:link w:val="2"/>
    <w:semiHidden/>
    <w:qFormat/>
    <w:uiPriority w:val="99"/>
    <w:rPr>
      <w:rFonts w:ascii="Arial" w:hAnsi="Arial" w:cs="Arial"/>
      <w:color w:val="333333"/>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532</Words>
  <Characters>3035</Characters>
  <Lines>25</Lines>
  <Paragraphs>7</Paragraphs>
  <TotalTime>0</TotalTime>
  <ScaleCrop>false</ScaleCrop>
  <LinksUpToDate>false</LinksUpToDate>
  <CharactersWithSpaces>3560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2023-08-01T19:26:00Z</dcterms:created>
  <dc:creator>lenovo</dc:creator>
  <cp:lastModifiedBy>user</cp:lastModifiedBy>
  <cp:lastPrinted>2023-08-04T23:17:00Z</cp:lastPrinted>
  <dcterms:modified xsi:type="dcterms:W3CDTF">2025-09-02T15:18:03Z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017B83543DFD4891B7D482854F0F919E_13</vt:lpwstr>
  </property>
</Properties>
</file>