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2"/>
        <w:gridCol w:w="960"/>
        <w:gridCol w:w="1830"/>
        <w:gridCol w:w="4125"/>
        <w:gridCol w:w="1065"/>
        <w:gridCol w:w="4080"/>
        <w:gridCol w:w="1020"/>
        <w:gridCol w:w="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052" w:type="dxa"/>
            <w:gridSpan w:val="8"/>
            <w:tcBorders>
              <w:top w:val="nil"/>
              <w:left w:val="nil"/>
              <w:bottom w:val="single" w:color="auto" w:sz="8" w:space="0"/>
              <w:right w:val="nil"/>
            </w:tcBorders>
            <w:noWrap w:val="0"/>
            <w:vAlign w:val="center"/>
          </w:tcPr>
          <w:p>
            <w:pPr>
              <w:keepNext w:val="0"/>
              <w:keepLines w:val="0"/>
              <w:widowControl/>
              <w:suppressLineNumbers w:val="0"/>
              <w:spacing w:before="0" w:beforeLines="0" w:beforeAutospacing="0" w:after="0" w:afterLines="0" w:afterAutospacing="0"/>
              <w:ind w:left="0" w:right="0"/>
              <w:jc w:val="both"/>
              <w:rPr>
                <w:rFonts w:hint="eastAsia" w:ascii="黑体" w:hAnsi="宋体" w:eastAsia="黑体" w:cs="宋体"/>
                <w:color w:val="000000"/>
                <w:kern w:val="0"/>
                <w:sz w:val="32"/>
                <w:szCs w:val="32"/>
              </w:rPr>
            </w:pPr>
            <w:r>
              <w:rPr>
                <w:rFonts w:hint="eastAsia" w:ascii="黑体" w:hAnsi="宋体" w:eastAsia="黑体" w:cs="黑体"/>
                <w:color w:val="000000"/>
                <w:kern w:val="0"/>
                <w:sz w:val="32"/>
                <w:szCs w:val="32"/>
                <w:lang w:val="en-US" w:eastAsia="zh-CN" w:bidi="ar"/>
              </w:rPr>
              <w:t>附件1</w:t>
            </w:r>
          </w:p>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40"/>
                <w:szCs w:val="40"/>
              </w:rPr>
            </w:pPr>
            <w:r>
              <w:rPr>
                <w:rFonts w:hint="eastAsia" w:ascii="宋体" w:hAnsi="宋体" w:eastAsia="宋体" w:cs="宋体"/>
                <w:b/>
                <w:bCs w:val="0"/>
                <w:color w:val="000000"/>
                <w:kern w:val="0"/>
                <w:sz w:val="44"/>
                <w:szCs w:val="44"/>
                <w:lang w:val="en-US" w:eastAsia="zh-CN" w:bidi="ar"/>
              </w:rPr>
              <w:t>2025年</w:t>
            </w:r>
            <w:r>
              <w:rPr>
                <w:rFonts w:hint="eastAsia" w:ascii="宋体" w:hAnsi="宋体" w:cs="宋体"/>
                <w:b/>
                <w:bCs w:val="0"/>
                <w:color w:val="000000"/>
                <w:kern w:val="0"/>
                <w:sz w:val="44"/>
                <w:szCs w:val="44"/>
                <w:lang w:val="en-US" w:eastAsia="zh-CN" w:bidi="ar"/>
              </w:rPr>
              <w:t>康平县</w:t>
            </w:r>
            <w:r>
              <w:rPr>
                <w:rFonts w:hint="eastAsia" w:ascii="宋体" w:hAnsi="宋体" w:eastAsia="宋体" w:cs="宋体"/>
                <w:b/>
                <w:bCs w:val="0"/>
                <w:color w:val="000000"/>
                <w:kern w:val="0"/>
                <w:sz w:val="44"/>
                <w:szCs w:val="44"/>
                <w:lang w:val="en-US" w:eastAsia="zh-CN" w:bidi="ar"/>
              </w:rPr>
              <w:t>本级行政事业性收费目录清单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619" w:hRule="atLeast"/>
        </w:trPr>
        <w:tc>
          <w:tcPr>
            <w:tcW w:w="912" w:type="dxa"/>
            <w:tcBorders>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序号</w:t>
            </w:r>
          </w:p>
        </w:tc>
        <w:tc>
          <w:tcPr>
            <w:tcW w:w="960" w:type="dxa"/>
            <w:tcBorders>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执收部门</w:t>
            </w:r>
          </w:p>
        </w:tc>
        <w:tc>
          <w:tcPr>
            <w:tcW w:w="1830" w:type="dxa"/>
            <w:tcBorders>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项目名称</w:t>
            </w:r>
          </w:p>
        </w:tc>
        <w:tc>
          <w:tcPr>
            <w:tcW w:w="4125" w:type="dxa"/>
            <w:tcBorders>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收费标准</w:t>
            </w:r>
          </w:p>
        </w:tc>
        <w:tc>
          <w:tcPr>
            <w:tcW w:w="1065" w:type="dxa"/>
            <w:tcBorders>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管理方式</w:t>
            </w:r>
          </w:p>
        </w:tc>
        <w:tc>
          <w:tcPr>
            <w:tcW w:w="4080" w:type="dxa"/>
            <w:tcBorders>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政策依据</w:t>
            </w:r>
          </w:p>
        </w:tc>
        <w:tc>
          <w:tcPr>
            <w:tcW w:w="1020" w:type="dxa"/>
            <w:tcBorders>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立项级次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317"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一</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公安</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1.证照费（机动车牌、证收费）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val="0"/>
              <w:suppressLineNumbers w:val="0"/>
              <w:spacing w:before="0" w:beforeLines="0" w:beforeAutospacing="0" w:after="0" w:afterLines="0" w:afterAutospacing="0"/>
              <w:ind w:left="0" w:right="0"/>
              <w:jc w:val="both"/>
              <w:rPr>
                <w:rFonts w:hint="eastAsia" w:ascii="Times New Roman" w:hAnsi="Times New Roman" w:eastAsia="宋体" w:cs="Times New Roman"/>
                <w:color w:val="000000"/>
                <w:kern w:val="2"/>
                <w:sz w:val="21"/>
                <w:szCs w:val="21"/>
              </w:rPr>
            </w:pPr>
          </w:p>
        </w:tc>
        <w:tc>
          <w:tcPr>
            <w:tcW w:w="1065" w:type="dxa"/>
            <w:vMerge w:val="restart"/>
            <w:tcBorders>
              <w:top w:val="nil"/>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p>
            <w:pPr>
              <w:keepNext w:val="0"/>
              <w:keepLines w:val="0"/>
              <w:widowControl/>
              <w:suppressLineNumbers w:val="0"/>
              <w:spacing w:before="0" w:beforeLines="0" w:beforeAutospacing="0" w:after="0" w:afterLines="0" w:afterAutospacing="0"/>
              <w:ind w:right="0"/>
              <w:jc w:val="both"/>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val="0"/>
              <w:suppressLineNumbers w:val="0"/>
              <w:spacing w:before="0" w:beforeLines="0" w:beforeAutospacing="0" w:after="0" w:afterLines="0" w:afterAutospacing="0"/>
              <w:ind w:left="0" w:right="0"/>
              <w:jc w:val="both"/>
              <w:rPr>
                <w:rFonts w:hint="eastAsia" w:ascii="Times New Roman" w:hAnsi="Times New Roman" w:eastAsia="宋体" w:cs="Times New Roman"/>
                <w:color w:val="000000"/>
                <w:kern w:val="2"/>
                <w:sz w:val="21"/>
                <w:szCs w:val="21"/>
              </w:rPr>
            </w:pP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025"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（1）机动车号牌工本费(含临时)</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汽车反光号牌100元/副；挂车反光号牌50元/副；三轮汽车、低速货车反光号牌40元/副；摩托车号牌35元/副；机动车临时号牌5元/张。</w:t>
            </w:r>
          </w:p>
        </w:tc>
        <w:tc>
          <w:tcPr>
            <w:tcW w:w="1065" w:type="dxa"/>
            <w:vMerge w:val="continue"/>
            <w:tcBorders>
              <w:left w:val="nil"/>
              <w:right w:val="single" w:color="auto" w:sz="8" w:space="0"/>
            </w:tcBorders>
            <w:noWrap w:val="0"/>
            <w:vAlign w:val="center"/>
          </w:tcPr>
          <w:p>
            <w:pPr>
              <w:rPr>
                <w:rFonts w:hint="default" w:ascii="Times New Roman" w:hAnsi="Times New Roman" w:cs="Times New Roman"/>
                <w:color w:val="000000"/>
                <w:sz w:val="20"/>
                <w:szCs w:val="20"/>
              </w:rPr>
            </w:pP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《道路交通安全法》，发改价格〔2004〕2831号，行业标准GA36-2014，发改价格规〔2019〕1931号，辽发改收费〔2020〕34号。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982"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（2）机动车行驶证、登记证、驾驶证工本费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10元/本</w:t>
            </w:r>
          </w:p>
        </w:tc>
        <w:tc>
          <w:tcPr>
            <w:tcW w:w="1065" w:type="dxa"/>
            <w:vMerge w:val="continue"/>
            <w:tcBorders>
              <w:left w:val="nil"/>
              <w:right w:val="single" w:color="auto" w:sz="8" w:space="0"/>
            </w:tcBorders>
            <w:noWrap w:val="0"/>
            <w:vAlign w:val="center"/>
          </w:tcPr>
          <w:p>
            <w:pPr>
              <w:rPr>
                <w:rFonts w:hint="default" w:ascii="Times New Roman" w:hAnsi="Times New Roman" w:cs="Times New Roman"/>
                <w:color w:val="000000"/>
                <w:sz w:val="20"/>
                <w:szCs w:val="20"/>
              </w:rPr>
            </w:pP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《道路交通安全法》，发改价格〔2004〕2831号，财综〔2001〕67号，发改价格〔2017〕1186号，辽价发〔2017〕56号。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108"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（3）临时入境机动车号牌和行驶证、临时机动车驾驶许可工本费</w:t>
            </w:r>
          </w:p>
        </w:tc>
        <w:tc>
          <w:tcPr>
            <w:tcW w:w="4125" w:type="dxa"/>
            <w:tcBorders>
              <w:top w:val="single" w:color="auto" w:sz="8" w:space="0"/>
              <w:left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10元/本</w:t>
            </w:r>
          </w:p>
        </w:tc>
        <w:tc>
          <w:tcPr>
            <w:tcW w:w="1065" w:type="dxa"/>
            <w:vMerge w:val="continue"/>
            <w:tcBorders>
              <w:left w:val="nil"/>
              <w:bottom w:val="single" w:color="auto" w:sz="8" w:space="0"/>
              <w:right w:val="single" w:color="auto" w:sz="8" w:space="0"/>
            </w:tcBorders>
            <w:noWrap w:val="0"/>
            <w:vAlign w:val="center"/>
          </w:tcPr>
          <w:p>
            <w:pPr>
              <w:rPr>
                <w:rFonts w:hint="default" w:ascii="Times New Roman" w:hAnsi="Times New Roman" w:cs="Times New Roman"/>
                <w:color w:val="000000"/>
                <w:sz w:val="20"/>
                <w:szCs w:val="20"/>
              </w:rPr>
            </w:pPr>
          </w:p>
        </w:tc>
        <w:tc>
          <w:tcPr>
            <w:tcW w:w="4080" w:type="dxa"/>
            <w:tcBorders>
              <w:top w:val="single" w:color="auto" w:sz="8" w:space="0"/>
              <w:left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《道路交通安全法》，财综〔2008〕36号，发改价格〔2008〕1575号，发改价格〔2017〕1186号，辽财非〔2008〕399号，辽价发〔2017〕56号。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465"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二</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法院</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2</w:t>
            </w:r>
            <w:r>
              <w:rPr>
                <w:rFonts w:hint="eastAsia" w:ascii="宋体" w:hAnsi="宋体" w:eastAsia="宋体" w:cs="宋体"/>
                <w:color w:val="000000"/>
                <w:kern w:val="0"/>
                <w:sz w:val="18"/>
                <w:szCs w:val="18"/>
                <w:lang w:val="en-US" w:eastAsia="zh-CN" w:bidi="ar"/>
              </w:rPr>
              <w:t>.诉讼费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按《诉讼费用交纳办法》（国务院令481号）规定执行。</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《民事诉讼法》，《行政诉讼法》，《诉讼费用交纳办法》（国务院令481号）。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465"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三</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财政</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3</w:t>
            </w:r>
            <w:r>
              <w:rPr>
                <w:rFonts w:hint="eastAsia" w:ascii="宋体" w:hAnsi="宋体" w:eastAsia="宋体" w:cs="宋体"/>
                <w:color w:val="000000"/>
                <w:kern w:val="0"/>
                <w:sz w:val="18"/>
                <w:szCs w:val="18"/>
                <w:lang w:val="en-US" w:eastAsia="zh-CN" w:bidi="ar"/>
              </w:rPr>
              <w:t>.收费票据工本费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票据销售价格＝票据出厂价格X（1+20%）</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辽财税〔2017〕387号。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省级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576" w:hRule="atLeast"/>
        </w:trPr>
        <w:tc>
          <w:tcPr>
            <w:tcW w:w="912" w:type="dxa"/>
            <w:vMerge w:val="restart"/>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四</w:t>
            </w:r>
          </w:p>
        </w:tc>
        <w:tc>
          <w:tcPr>
            <w:tcW w:w="960" w:type="dxa"/>
            <w:vMerge w:val="restart"/>
            <w:tcBorders>
              <w:top w:val="single" w:color="auto" w:sz="8" w:space="0"/>
              <w:left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人防</w:t>
            </w:r>
          </w:p>
        </w:tc>
        <w:tc>
          <w:tcPr>
            <w:tcW w:w="1830" w:type="dxa"/>
            <w:vMerge w:val="restart"/>
            <w:tcBorders>
              <w:top w:val="single" w:color="auto" w:sz="8" w:space="0"/>
              <w:left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4</w:t>
            </w:r>
            <w:r>
              <w:rPr>
                <w:rFonts w:hint="eastAsia" w:ascii="宋体" w:hAnsi="宋体" w:eastAsia="宋体" w:cs="宋体"/>
                <w:color w:val="000000"/>
                <w:kern w:val="0"/>
                <w:sz w:val="18"/>
                <w:szCs w:val="18"/>
                <w:lang w:val="en-US" w:eastAsia="zh-CN" w:bidi="ar"/>
              </w:rPr>
              <w:t>.防空地下室易地建设费</w:t>
            </w:r>
          </w:p>
        </w:tc>
        <w:tc>
          <w:tcPr>
            <w:tcW w:w="4125" w:type="dxa"/>
            <w:tcBorders>
              <w:top w:val="single" w:color="auto" w:sz="8" w:space="0"/>
              <w:left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沈价发〔2010〕62号规定：按应建防空地下室建筑面积：县级市和县1000元/平方米，其它地区2000元/平方米。九层以下民用建筑不建防空地下室的，按地面总建筑面积缴纳，县级市及县20元/平方米，其它地区40元/平方米。</w:t>
            </w:r>
          </w:p>
        </w:tc>
        <w:tc>
          <w:tcPr>
            <w:tcW w:w="1065" w:type="dxa"/>
            <w:vMerge w:val="restart"/>
            <w:tcBorders>
              <w:top w:val="single" w:color="auto" w:sz="8" w:space="0"/>
              <w:left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vMerge w:val="restart"/>
            <w:tcBorders>
              <w:top w:val="single" w:color="auto" w:sz="8" w:space="0"/>
              <w:left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中发〔2001〕9号，计价格〔2000〕474号,财税〔2014〕77，财税〔2019〕53号，财政部 税务总局 发展改革委 民政部 商务部 卫生健康委公告2019年第76号，省政府令第49号，辽价发﹝2001﹞72号，辽价发﹝2018﹞55号，辽财税〔2020〕383号,辽民防发〔2003〕2号，发改办价格〔2017〕799号，辽政办发〔2005〕16号，辽宁省人民政府令第277号，辽政办发〔2002〕94号，国人防〔2015〕1号，辽政办发〔2017〕100号。</w:t>
            </w:r>
          </w:p>
        </w:tc>
        <w:tc>
          <w:tcPr>
            <w:tcW w:w="1020" w:type="dxa"/>
            <w:vMerge w:val="restart"/>
            <w:tcBorders>
              <w:top w:val="single" w:color="auto" w:sz="8" w:space="0"/>
              <w:left w:val="single" w:color="auto" w:sz="8" w:space="0"/>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242" w:hRule="atLeast"/>
        </w:trPr>
        <w:tc>
          <w:tcPr>
            <w:tcW w:w="912" w:type="dxa"/>
            <w:vMerge w:val="continue"/>
            <w:tcBorders>
              <w:top w:val="single" w:color="auto" w:sz="8" w:space="0"/>
              <w:bottom w:val="single" w:color="auto" w:sz="8" w:space="0"/>
              <w:right w:val="single" w:color="auto" w:sz="8" w:space="0"/>
            </w:tcBorders>
            <w:noWrap w:val="0"/>
            <w:vAlign w:val="center"/>
          </w:tcPr>
          <w:p>
            <w:pPr>
              <w:rPr>
                <w:rFonts w:hint="default" w:ascii="Times New Roman" w:hAnsi="Times New Roman" w:cs="Times New Roman"/>
                <w:color w:val="000000"/>
                <w:sz w:val="20"/>
                <w:szCs w:val="20"/>
              </w:rPr>
            </w:pPr>
          </w:p>
        </w:tc>
        <w:tc>
          <w:tcPr>
            <w:tcW w:w="960" w:type="dxa"/>
            <w:vMerge w:val="continue"/>
            <w:tcBorders>
              <w:top w:val="single" w:color="auto" w:sz="8" w:space="0"/>
              <w:left w:val="nil"/>
              <w:bottom w:val="single" w:color="auto" w:sz="8" w:space="0"/>
              <w:right w:val="single" w:color="auto" w:sz="8" w:space="0"/>
            </w:tcBorders>
            <w:noWrap w:val="0"/>
            <w:vAlign w:val="center"/>
          </w:tcPr>
          <w:p>
            <w:pPr>
              <w:rPr>
                <w:rFonts w:hint="default" w:ascii="Times New Roman" w:hAnsi="Times New Roman" w:cs="Times New Roman"/>
                <w:color w:val="000000"/>
                <w:sz w:val="20"/>
                <w:szCs w:val="20"/>
              </w:rPr>
            </w:pPr>
          </w:p>
        </w:tc>
        <w:tc>
          <w:tcPr>
            <w:tcW w:w="1830" w:type="dxa"/>
            <w:vMerge w:val="continue"/>
            <w:tcBorders>
              <w:top w:val="single" w:color="auto" w:sz="8" w:space="0"/>
              <w:left w:val="nil"/>
              <w:bottom w:val="single" w:color="auto" w:sz="8" w:space="0"/>
              <w:right w:val="single" w:color="auto" w:sz="8" w:space="0"/>
            </w:tcBorders>
            <w:noWrap w:val="0"/>
            <w:vAlign w:val="center"/>
          </w:tcPr>
          <w:p>
            <w:pPr>
              <w:rPr>
                <w:rFonts w:hint="default" w:ascii="Times New Roman" w:hAnsi="Times New Roman" w:cs="Times New Roman"/>
                <w:color w:val="000000"/>
                <w:sz w:val="20"/>
                <w:szCs w:val="20"/>
              </w:rPr>
            </w:pP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辽价发〔2018〕55号规定：自2018年10月1日起，将人防工程易地建设费缴纳标准在原有标准的基础上降低15%。</w:t>
            </w:r>
          </w:p>
        </w:tc>
        <w:tc>
          <w:tcPr>
            <w:tcW w:w="1065" w:type="dxa"/>
            <w:vMerge w:val="continue"/>
            <w:tcBorders>
              <w:top w:val="single" w:color="auto" w:sz="8" w:space="0"/>
              <w:left w:val="nil"/>
              <w:bottom w:val="single" w:color="auto" w:sz="8" w:space="0"/>
              <w:right w:val="single" w:color="auto" w:sz="8" w:space="0"/>
            </w:tcBorders>
            <w:noWrap w:val="0"/>
            <w:vAlign w:val="center"/>
          </w:tcPr>
          <w:p>
            <w:pPr>
              <w:rPr>
                <w:rFonts w:hint="default" w:ascii="Times New Roman" w:hAnsi="Times New Roman" w:cs="Times New Roman"/>
                <w:color w:val="000000"/>
                <w:sz w:val="20"/>
                <w:szCs w:val="20"/>
              </w:rPr>
            </w:pPr>
          </w:p>
        </w:tc>
        <w:tc>
          <w:tcPr>
            <w:tcW w:w="4080" w:type="dxa"/>
            <w:vMerge w:val="continue"/>
            <w:tcBorders>
              <w:top w:val="single" w:color="auto" w:sz="8" w:space="0"/>
              <w:left w:val="nil"/>
              <w:bottom w:val="single" w:color="auto" w:sz="8" w:space="0"/>
              <w:right w:val="single" w:color="auto" w:sz="8" w:space="0"/>
            </w:tcBorders>
            <w:noWrap w:val="0"/>
            <w:vAlign w:val="center"/>
          </w:tcPr>
          <w:p>
            <w:pPr>
              <w:rPr>
                <w:rFonts w:hint="default" w:ascii="Times New Roman" w:hAnsi="Times New Roman" w:cs="Times New Roman"/>
                <w:color w:val="000000"/>
                <w:sz w:val="20"/>
                <w:szCs w:val="20"/>
              </w:rPr>
            </w:pPr>
          </w:p>
        </w:tc>
        <w:tc>
          <w:tcPr>
            <w:tcW w:w="1020" w:type="dxa"/>
            <w:vMerge w:val="continue"/>
            <w:tcBorders>
              <w:top w:val="single" w:color="auto" w:sz="8" w:space="0"/>
              <w:left w:val="nil"/>
              <w:bottom w:val="single" w:color="auto" w:sz="8" w:space="0"/>
            </w:tcBorders>
            <w:noWrap w:val="0"/>
            <w:vAlign w:val="center"/>
          </w:tcPr>
          <w:p>
            <w:pPr>
              <w:rPr>
                <w:rFonts w:hint="default" w:ascii="Times New Roman" w:hAnsi="Times New Roman"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712"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五</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仲裁</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5</w:t>
            </w:r>
            <w:r>
              <w:rPr>
                <w:rFonts w:hint="eastAsia" w:ascii="宋体" w:hAnsi="宋体" w:eastAsia="宋体" w:cs="宋体"/>
                <w:color w:val="000000"/>
                <w:kern w:val="0"/>
                <w:sz w:val="18"/>
                <w:szCs w:val="18"/>
                <w:lang w:val="en-US" w:eastAsia="zh-CN" w:bidi="ar"/>
              </w:rPr>
              <w:t>.仲裁收费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案件受理费：最低40元，争议金额的0.25-5%；案件处理费：按合理的实际支出收取。</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《仲裁法》，财综〔2010〕19号，国办发〔1995〕44号，辽财非〔2010〕985号。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3854"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六</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教育</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6</w:t>
            </w:r>
            <w:r>
              <w:rPr>
                <w:rFonts w:hint="eastAsia" w:ascii="宋体" w:hAnsi="宋体" w:eastAsia="宋体" w:cs="宋体"/>
                <w:color w:val="000000"/>
                <w:kern w:val="0"/>
                <w:sz w:val="18"/>
                <w:szCs w:val="18"/>
                <w:lang w:val="en-US" w:eastAsia="zh-CN" w:bidi="ar"/>
              </w:rPr>
              <w:t>.公办幼儿园保教费、住宿费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1.公办幼儿园的保育教育费、住宿费实行政府指导价，由各市制定。其中保育教育费城区：五星级950元/生/月，四星级800元/生/月， 三星级620元/生/月，二星级520元/生/月，一星级420元/ 生/月。对实行差额或自收自支管理的公办幼儿园在此标准基础上可上浮10-15%。农村：五星级480元/生/月，四星级430元/生/月， 三星级280元/生/月，二星级240元/生/月，一星级190元/ 生/月。可在此基础上根据自身情况下浮10%。2.公办幼儿园住宿费标准按照实际成本确定，不得以营利为目的。具体收费标准由幼儿园提出申请，经市级教育、价格、 财政部门共同审核后确定。</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《幼儿园管理条例》，发改价格〔2011〕3207号，辽财综〔2003〕478号，辽发改收费〔2019〕452号，沈价发〔2017〕65号</w:t>
            </w:r>
            <w:r>
              <w:rPr>
                <w:rFonts w:hint="default" w:ascii="宋体" w:hAnsi="宋体" w:cs="宋体"/>
                <w:color w:val="000000"/>
                <w:kern w:val="0"/>
                <w:sz w:val="18"/>
                <w:szCs w:val="18"/>
                <w:lang w:eastAsia="zh-CN" w:bidi="ar"/>
              </w:rPr>
              <w:t>，</w:t>
            </w:r>
            <w:r>
              <w:rPr>
                <w:rFonts w:hint="eastAsia" w:ascii="宋体" w:hAnsi="宋体" w:eastAsia="宋体" w:cs="宋体"/>
                <w:color w:val="000000"/>
                <w:kern w:val="0"/>
                <w:sz w:val="18"/>
                <w:szCs w:val="18"/>
                <w:lang w:val="en-US" w:eastAsia="zh-CN" w:bidi="ar"/>
              </w:rPr>
              <w:t>沈发改发〔2019〕108号。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742" w:hRule="atLeast"/>
        </w:trPr>
        <w:tc>
          <w:tcPr>
            <w:tcW w:w="912" w:type="dxa"/>
            <w:vMerge w:val="restart"/>
            <w:tcBorders>
              <w:top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vMerge w:val="restart"/>
            <w:tcBorders>
              <w:top w:val="single" w:color="auto" w:sz="8" w:space="0"/>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7</w:t>
            </w:r>
            <w:r>
              <w:rPr>
                <w:rFonts w:hint="eastAsia" w:ascii="宋体" w:hAnsi="宋体" w:eastAsia="宋体" w:cs="宋体"/>
                <w:color w:val="000000"/>
                <w:kern w:val="0"/>
                <w:sz w:val="18"/>
                <w:szCs w:val="18"/>
                <w:lang w:val="en-US" w:eastAsia="zh-CN" w:bidi="ar"/>
              </w:rPr>
              <w:t>.普通高中学费、住宿费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学费：省示范高中，城市1400元/生·学年，农村1200元/生·学年；一般高中，城市1200元/生·学年，农村1000元/生·学年。住宿费：政府投资兴建的100元/生·学期；融资建设的公寓化管理的最高不超过400元/生·学期。</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缴入财政专户</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《教育法》，教财〔1996〕101号，教财〔2003〕4号，辽财综〔2002〕235号，辽财综〔2003〕478号,辽价发〔2004〕111号。辽价发〔2016〕23号，沈价发〔2016〕19号。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2270" w:hRule="atLeast"/>
        </w:trPr>
        <w:tc>
          <w:tcPr>
            <w:tcW w:w="912" w:type="dxa"/>
            <w:vMerge w:val="continue"/>
            <w:tcBorders>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p>
        </w:tc>
        <w:tc>
          <w:tcPr>
            <w:tcW w:w="960" w:type="dxa"/>
            <w:vMerge w:val="continue"/>
            <w:tcBorders>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highlight w:val="none"/>
                <w:lang w:val="en-US" w:eastAsia="zh-CN" w:bidi="ar"/>
              </w:rPr>
              <w:t>8</w:t>
            </w:r>
            <w:r>
              <w:rPr>
                <w:rFonts w:hint="eastAsia" w:ascii="宋体" w:hAnsi="宋体" w:eastAsia="宋体" w:cs="宋体"/>
                <w:color w:val="000000"/>
                <w:kern w:val="0"/>
                <w:sz w:val="18"/>
                <w:szCs w:val="18"/>
                <w:highlight w:val="none"/>
                <w:lang w:val="en-US" w:eastAsia="zh-CN" w:bidi="ar"/>
              </w:rPr>
              <w:t>.中等职业学校学费、住宿费</w:t>
            </w:r>
          </w:p>
        </w:tc>
        <w:tc>
          <w:tcPr>
            <w:tcW w:w="4125" w:type="dxa"/>
            <w:tcBorders>
              <w:top w:val="single" w:color="auto" w:sz="8" w:space="0"/>
              <w:left w:val="nil"/>
              <w:bottom w:val="single" w:color="auto" w:sz="4"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学费：900－3500元/生·学期。住宿费：120－400元/生·学期；国家重点、省级示范、体育艺术高等院校附设的中等职业学校和办学成本特高的特殊专业，学费可申请适当上浮，幅度不超过20%；省级示范中专不超过10%；成人中专脱产教育学费按同类专业的90%；业余中专教育按同类专业的60%。</w:t>
            </w:r>
          </w:p>
        </w:tc>
        <w:tc>
          <w:tcPr>
            <w:tcW w:w="1065" w:type="dxa"/>
            <w:tcBorders>
              <w:top w:val="single" w:color="auto" w:sz="8" w:space="0"/>
              <w:left w:val="nil"/>
              <w:bottom w:val="single" w:color="auto" w:sz="4"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缴入财政专户</w:t>
            </w:r>
          </w:p>
        </w:tc>
        <w:tc>
          <w:tcPr>
            <w:tcW w:w="4080" w:type="dxa"/>
            <w:tcBorders>
              <w:top w:val="single" w:color="auto" w:sz="8" w:space="0"/>
              <w:left w:val="nil"/>
              <w:bottom w:val="single" w:color="auto" w:sz="4"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《教育法》，财综〔2004〕4号，教财〔1996〕101号，教财〔2003〕4号，辽财综〔2003〕478号，辽价发〔2004〕107号。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940" w:hRule="atLeast"/>
        </w:trPr>
        <w:tc>
          <w:tcPr>
            <w:tcW w:w="912" w:type="dxa"/>
            <w:vMerge w:val="continue"/>
            <w:tcBorders>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p>
        </w:tc>
        <w:tc>
          <w:tcPr>
            <w:tcW w:w="960" w:type="dxa"/>
            <w:vMerge w:val="continue"/>
            <w:tcBorders>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p>
        </w:tc>
        <w:tc>
          <w:tcPr>
            <w:tcW w:w="1830" w:type="dxa"/>
            <w:vMerge w:val="restart"/>
            <w:tcBorders>
              <w:top w:val="single" w:color="auto" w:sz="8" w:space="0"/>
              <w:left w:val="single" w:color="auto" w:sz="8" w:space="0"/>
              <w:bottom w:val="single" w:color="auto" w:sz="8" w:space="0"/>
              <w:right w:val="single" w:color="auto" w:sz="4"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9</w:t>
            </w:r>
            <w:r>
              <w:rPr>
                <w:rFonts w:hint="eastAsia" w:ascii="宋体" w:hAnsi="宋体" w:eastAsia="宋体" w:cs="宋体"/>
                <w:color w:val="000000"/>
                <w:kern w:val="0"/>
                <w:sz w:val="18"/>
                <w:szCs w:val="18"/>
                <w:lang w:val="en-US" w:eastAsia="zh-CN" w:bidi="ar"/>
              </w:rPr>
              <w:t>.高等学校（含科研院所、各级党校等）学费、住宿费、委托培养费、函大电大夜大及短期培训费</w:t>
            </w:r>
          </w:p>
        </w:tc>
        <w:tc>
          <w:tcPr>
            <w:tcW w:w="4125" w:type="dxa"/>
            <w:tcBorders>
              <w:top w:val="single" w:color="auto" w:sz="4" w:space="0"/>
              <w:left w:val="single" w:color="auto" w:sz="4"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本科学费</w:t>
            </w:r>
            <w:r>
              <w:rPr>
                <w:rFonts w:hint="eastAsia" w:ascii="宋体" w:hAnsi="宋体" w:eastAsia="宋体" w:cs="宋体"/>
                <w:color w:val="000000"/>
                <w:kern w:val="0"/>
                <w:sz w:val="18"/>
                <w:szCs w:val="18"/>
                <w:lang w:val="en-US" w:eastAsia="zh-CN" w:bidi="ar"/>
              </w:rPr>
              <w:t xml:space="preserve">：按辽发改收费〔2021〕78号文件执行。                          </w:t>
            </w:r>
            <w:r>
              <w:rPr>
                <w:rFonts w:hint="eastAsia" w:ascii="宋体" w:hAnsi="宋体" w:eastAsia="宋体" w:cs="宋体"/>
                <w:b/>
                <w:bCs w:val="0"/>
                <w:color w:val="000000"/>
                <w:kern w:val="0"/>
                <w:sz w:val="18"/>
                <w:szCs w:val="18"/>
                <w:lang w:val="en-US" w:eastAsia="zh-CN" w:bidi="ar"/>
              </w:rPr>
              <w:t>研究生学费</w:t>
            </w:r>
            <w:r>
              <w:rPr>
                <w:rFonts w:hint="eastAsia" w:ascii="宋体" w:hAnsi="宋体" w:eastAsia="宋体" w:cs="宋体"/>
                <w:color w:val="000000"/>
                <w:kern w:val="0"/>
                <w:sz w:val="18"/>
                <w:szCs w:val="18"/>
                <w:lang w:val="en-US" w:eastAsia="zh-CN" w:bidi="ar"/>
              </w:rPr>
              <w:t>：按辽价发〔2014〕41号文件执行。</w:t>
            </w:r>
          </w:p>
        </w:tc>
        <w:tc>
          <w:tcPr>
            <w:tcW w:w="1065" w:type="dxa"/>
            <w:vMerge w:val="restart"/>
            <w:tcBorders>
              <w:top w:val="single" w:color="auto" w:sz="4" w:space="0"/>
              <w:left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缴入财政专户</w:t>
            </w:r>
          </w:p>
        </w:tc>
        <w:tc>
          <w:tcPr>
            <w:tcW w:w="4080" w:type="dxa"/>
            <w:vMerge w:val="restart"/>
            <w:tcBorders>
              <w:top w:val="single" w:color="auto" w:sz="4" w:space="0"/>
              <w:left w:val="single" w:color="auto" w:sz="8" w:space="0"/>
              <w:bottom w:val="single" w:color="auto" w:sz="8" w:space="0"/>
              <w:right w:val="single" w:color="auto" w:sz="4"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教育法》，《高等教育法》，财教〔2013〕19号，发改价格〔2013〕887号，发改价格〔2005〕2528号,教财〔2006〕2号，教财〔2003〕4号，计价格〔2002〕665号，计办价格〔2000〕906号，教财〔1996〕101号，价费字〔1993〕367号，教财〔1992〕42号，发改价格〔2006〕702号，教财〔2006〕7号，教电〔2005〕333号，教财〔2005〕22号，教高〔2015〕6号，辽财综〔2003〕478号，辽价发〔2000〕64号，辽价发〔2003〕15号，辽价发〔2014〕41号，辽价发〔2017〕66号，辽发改收费〔2021〕78号，辽发改收费〔2021〕176号。</w:t>
            </w:r>
          </w:p>
        </w:tc>
        <w:tc>
          <w:tcPr>
            <w:tcW w:w="1020" w:type="dxa"/>
            <w:vMerge w:val="restart"/>
            <w:tcBorders>
              <w:top w:val="single" w:color="auto" w:sz="8" w:space="0"/>
              <w:left w:val="single" w:color="auto" w:sz="4" w:space="0"/>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979" w:hRule="atLeast"/>
        </w:trPr>
        <w:tc>
          <w:tcPr>
            <w:tcW w:w="912" w:type="dxa"/>
            <w:vMerge w:val="continue"/>
            <w:tcBorders>
              <w:right w:val="single" w:color="auto" w:sz="8" w:space="0"/>
            </w:tcBorders>
            <w:noWrap w:val="0"/>
            <w:vAlign w:val="center"/>
          </w:tcPr>
          <w:p>
            <w:pPr>
              <w:rPr>
                <w:rFonts w:hint="default" w:ascii="Times New Roman" w:hAnsi="Times New Roman" w:cs="Times New Roman"/>
                <w:color w:val="000000"/>
                <w:sz w:val="20"/>
                <w:szCs w:val="20"/>
              </w:rPr>
            </w:pPr>
          </w:p>
        </w:tc>
        <w:tc>
          <w:tcPr>
            <w:tcW w:w="960" w:type="dxa"/>
            <w:vMerge w:val="continue"/>
            <w:tcBorders>
              <w:left w:val="nil"/>
              <w:right w:val="single" w:color="auto" w:sz="8" w:space="0"/>
            </w:tcBorders>
            <w:noWrap w:val="0"/>
            <w:vAlign w:val="center"/>
          </w:tcPr>
          <w:p>
            <w:pPr>
              <w:rPr>
                <w:rFonts w:hint="default" w:ascii="Times New Roman" w:hAnsi="Times New Roman" w:cs="Times New Roman"/>
                <w:color w:val="000000"/>
                <w:sz w:val="20"/>
                <w:szCs w:val="20"/>
              </w:rPr>
            </w:pPr>
          </w:p>
        </w:tc>
        <w:tc>
          <w:tcPr>
            <w:tcW w:w="1830" w:type="dxa"/>
            <w:vMerge w:val="continue"/>
            <w:tcBorders>
              <w:top w:val="single" w:color="auto" w:sz="8" w:space="0"/>
              <w:left w:val="single" w:color="auto" w:sz="8" w:space="0"/>
              <w:bottom w:val="single" w:color="auto" w:sz="8" w:space="0"/>
              <w:right w:val="single" w:color="auto" w:sz="4" w:space="0"/>
            </w:tcBorders>
            <w:noWrap w:val="0"/>
            <w:vAlign w:val="center"/>
          </w:tcPr>
          <w:p>
            <w:pPr>
              <w:rPr>
                <w:rFonts w:hint="default" w:ascii="Times New Roman" w:hAnsi="Times New Roman" w:cs="Times New Roman"/>
                <w:color w:val="000000"/>
                <w:sz w:val="20"/>
                <w:szCs w:val="20"/>
              </w:rPr>
            </w:pPr>
          </w:p>
        </w:tc>
        <w:tc>
          <w:tcPr>
            <w:tcW w:w="4125" w:type="dxa"/>
            <w:tcBorders>
              <w:top w:val="single" w:color="auto" w:sz="8" w:space="0"/>
              <w:left w:val="single" w:color="auto" w:sz="4"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高职学费：一般专业4000－5000元/生·学年，艺术专业6000－7000元/生·学年。</w:t>
            </w:r>
          </w:p>
        </w:tc>
        <w:tc>
          <w:tcPr>
            <w:tcW w:w="1065" w:type="dxa"/>
            <w:vMerge w:val="continue"/>
            <w:tcBorders>
              <w:top w:val="single" w:color="auto" w:sz="8" w:space="0"/>
              <w:left w:val="nil"/>
              <w:bottom w:val="single" w:color="auto" w:sz="8" w:space="0"/>
              <w:right w:val="single" w:color="auto" w:sz="8" w:space="0"/>
            </w:tcBorders>
            <w:noWrap w:val="0"/>
            <w:vAlign w:val="center"/>
          </w:tcPr>
          <w:p>
            <w:pPr>
              <w:rPr>
                <w:rFonts w:hint="default" w:ascii="Times New Roman" w:hAnsi="Times New Roman" w:cs="Times New Roman"/>
                <w:color w:val="000000"/>
                <w:sz w:val="20"/>
                <w:szCs w:val="20"/>
              </w:rPr>
            </w:pPr>
          </w:p>
        </w:tc>
        <w:tc>
          <w:tcPr>
            <w:tcW w:w="4080" w:type="dxa"/>
            <w:vMerge w:val="continue"/>
            <w:tcBorders>
              <w:top w:val="single" w:color="auto" w:sz="8" w:space="0"/>
              <w:left w:val="nil"/>
              <w:bottom w:val="single" w:color="auto" w:sz="8" w:space="0"/>
              <w:right w:val="single" w:color="auto" w:sz="4" w:space="0"/>
            </w:tcBorders>
            <w:noWrap w:val="0"/>
            <w:vAlign w:val="center"/>
          </w:tcPr>
          <w:p>
            <w:pPr>
              <w:rPr>
                <w:rFonts w:hint="default" w:ascii="Times New Roman" w:hAnsi="Times New Roman" w:cs="Times New Roman"/>
                <w:color w:val="000000"/>
                <w:sz w:val="20"/>
                <w:szCs w:val="20"/>
              </w:rPr>
            </w:pPr>
          </w:p>
        </w:tc>
        <w:tc>
          <w:tcPr>
            <w:tcW w:w="1020" w:type="dxa"/>
            <w:vMerge w:val="continue"/>
            <w:tcBorders>
              <w:top w:val="single" w:color="auto" w:sz="8" w:space="0"/>
              <w:left w:val="single" w:color="auto" w:sz="4" w:space="0"/>
              <w:bottom w:val="single" w:color="auto" w:sz="8" w:space="0"/>
            </w:tcBorders>
            <w:noWrap w:val="0"/>
            <w:vAlign w:val="center"/>
          </w:tcPr>
          <w:p>
            <w:pPr>
              <w:rPr>
                <w:rFonts w:hint="default" w:ascii="Times New Roman" w:hAnsi="Times New Roman"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702" w:hRule="atLeast"/>
        </w:trPr>
        <w:tc>
          <w:tcPr>
            <w:tcW w:w="912" w:type="dxa"/>
            <w:vMerge w:val="continue"/>
            <w:tcBorders>
              <w:right w:val="single" w:color="auto" w:sz="8" w:space="0"/>
            </w:tcBorders>
            <w:noWrap w:val="0"/>
            <w:vAlign w:val="center"/>
          </w:tcPr>
          <w:p>
            <w:pPr>
              <w:rPr>
                <w:rFonts w:hint="default" w:ascii="Times New Roman" w:hAnsi="Times New Roman" w:cs="Times New Roman"/>
                <w:color w:val="000000"/>
                <w:sz w:val="20"/>
                <w:szCs w:val="20"/>
              </w:rPr>
            </w:pPr>
          </w:p>
        </w:tc>
        <w:tc>
          <w:tcPr>
            <w:tcW w:w="960" w:type="dxa"/>
            <w:vMerge w:val="continue"/>
            <w:tcBorders>
              <w:left w:val="nil"/>
              <w:right w:val="single" w:color="auto" w:sz="8" w:space="0"/>
            </w:tcBorders>
            <w:noWrap w:val="0"/>
            <w:vAlign w:val="center"/>
          </w:tcPr>
          <w:p>
            <w:pPr>
              <w:rPr>
                <w:rFonts w:hint="default" w:ascii="Times New Roman" w:hAnsi="Times New Roman" w:cs="Times New Roman"/>
                <w:color w:val="000000"/>
                <w:sz w:val="20"/>
                <w:szCs w:val="20"/>
              </w:rPr>
            </w:pPr>
          </w:p>
        </w:tc>
        <w:tc>
          <w:tcPr>
            <w:tcW w:w="1830" w:type="dxa"/>
            <w:vMerge w:val="continue"/>
            <w:tcBorders>
              <w:top w:val="nil"/>
              <w:left w:val="single" w:color="auto" w:sz="8" w:space="0"/>
              <w:bottom w:val="single" w:color="auto" w:sz="8" w:space="0"/>
              <w:right w:val="single" w:color="auto" w:sz="4" w:space="0"/>
            </w:tcBorders>
            <w:noWrap w:val="0"/>
            <w:vAlign w:val="center"/>
          </w:tcPr>
          <w:p>
            <w:pPr>
              <w:rPr>
                <w:rFonts w:hint="default" w:ascii="Times New Roman" w:hAnsi="Times New Roman" w:cs="Times New Roman"/>
                <w:color w:val="000000"/>
                <w:sz w:val="20"/>
                <w:szCs w:val="20"/>
              </w:rPr>
            </w:pPr>
          </w:p>
        </w:tc>
        <w:tc>
          <w:tcPr>
            <w:tcW w:w="4125" w:type="dxa"/>
            <w:tcBorders>
              <w:top w:val="single" w:color="auto" w:sz="8" w:space="0"/>
              <w:left w:val="single" w:color="auto" w:sz="4"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住宿费：500－1200元/生·学年。</w:t>
            </w:r>
          </w:p>
        </w:tc>
        <w:tc>
          <w:tcPr>
            <w:tcW w:w="1065" w:type="dxa"/>
            <w:vMerge w:val="continue"/>
            <w:tcBorders>
              <w:top w:val="nil"/>
              <w:left w:val="nil"/>
              <w:bottom w:val="single" w:color="auto" w:sz="8" w:space="0"/>
              <w:right w:val="single" w:color="auto" w:sz="8" w:space="0"/>
            </w:tcBorders>
            <w:noWrap w:val="0"/>
            <w:vAlign w:val="center"/>
          </w:tcPr>
          <w:p>
            <w:pPr>
              <w:rPr>
                <w:rFonts w:hint="default" w:ascii="Times New Roman" w:hAnsi="Times New Roman" w:cs="Times New Roman"/>
                <w:color w:val="000000"/>
                <w:sz w:val="20"/>
                <w:szCs w:val="20"/>
              </w:rPr>
            </w:pPr>
          </w:p>
        </w:tc>
        <w:tc>
          <w:tcPr>
            <w:tcW w:w="4080" w:type="dxa"/>
            <w:vMerge w:val="continue"/>
            <w:tcBorders>
              <w:top w:val="nil"/>
              <w:left w:val="nil"/>
              <w:bottom w:val="single" w:color="auto" w:sz="8" w:space="0"/>
              <w:right w:val="single" w:color="auto" w:sz="4" w:space="0"/>
            </w:tcBorders>
            <w:noWrap w:val="0"/>
            <w:vAlign w:val="center"/>
          </w:tcPr>
          <w:p>
            <w:pPr>
              <w:rPr>
                <w:rFonts w:hint="default" w:ascii="Times New Roman" w:hAnsi="Times New Roman" w:cs="Times New Roman"/>
                <w:color w:val="000000"/>
                <w:sz w:val="20"/>
                <w:szCs w:val="20"/>
              </w:rPr>
            </w:pPr>
          </w:p>
        </w:tc>
        <w:tc>
          <w:tcPr>
            <w:tcW w:w="1020" w:type="dxa"/>
            <w:vMerge w:val="continue"/>
            <w:tcBorders>
              <w:top w:val="nil"/>
              <w:left w:val="single" w:color="auto" w:sz="4" w:space="0"/>
              <w:bottom w:val="single" w:color="auto" w:sz="8" w:space="0"/>
            </w:tcBorders>
            <w:noWrap w:val="0"/>
            <w:vAlign w:val="center"/>
          </w:tcPr>
          <w:p>
            <w:pPr>
              <w:rPr>
                <w:rFonts w:hint="default" w:ascii="Times New Roman" w:hAnsi="Times New Roman"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275" w:hRule="atLeast"/>
        </w:trPr>
        <w:tc>
          <w:tcPr>
            <w:tcW w:w="912" w:type="dxa"/>
            <w:vMerge w:val="continue"/>
            <w:tcBorders>
              <w:bottom w:val="single" w:color="auto" w:sz="8" w:space="0"/>
              <w:right w:val="single" w:color="auto" w:sz="8" w:space="0"/>
            </w:tcBorders>
            <w:noWrap w:val="0"/>
            <w:vAlign w:val="center"/>
          </w:tcPr>
          <w:p>
            <w:pPr>
              <w:rPr>
                <w:rFonts w:hint="default" w:ascii="Times New Roman" w:hAnsi="Times New Roman" w:cs="Times New Roman"/>
                <w:color w:val="000000"/>
                <w:sz w:val="20"/>
                <w:szCs w:val="20"/>
              </w:rPr>
            </w:pPr>
          </w:p>
        </w:tc>
        <w:tc>
          <w:tcPr>
            <w:tcW w:w="960" w:type="dxa"/>
            <w:vMerge w:val="continue"/>
            <w:tcBorders>
              <w:left w:val="nil"/>
              <w:bottom w:val="single" w:color="auto" w:sz="8" w:space="0"/>
              <w:right w:val="single" w:color="auto" w:sz="8" w:space="0"/>
            </w:tcBorders>
            <w:noWrap w:val="0"/>
            <w:vAlign w:val="center"/>
          </w:tcPr>
          <w:p>
            <w:pPr>
              <w:rPr>
                <w:rFonts w:hint="default" w:ascii="Times New Roman" w:hAnsi="Times New Roman" w:cs="Times New Roman"/>
                <w:color w:val="000000"/>
                <w:sz w:val="20"/>
                <w:szCs w:val="20"/>
              </w:rPr>
            </w:pPr>
          </w:p>
        </w:tc>
        <w:tc>
          <w:tcPr>
            <w:tcW w:w="1830" w:type="dxa"/>
            <w:vMerge w:val="continue"/>
            <w:tcBorders>
              <w:top w:val="nil"/>
              <w:left w:val="single" w:color="auto" w:sz="8" w:space="0"/>
              <w:bottom w:val="single" w:color="auto" w:sz="8" w:space="0"/>
              <w:right w:val="single" w:color="auto" w:sz="4" w:space="0"/>
            </w:tcBorders>
            <w:noWrap w:val="0"/>
            <w:vAlign w:val="center"/>
          </w:tcPr>
          <w:p>
            <w:pPr>
              <w:rPr>
                <w:rFonts w:hint="default" w:ascii="Times New Roman" w:hAnsi="Times New Roman" w:cs="Times New Roman"/>
                <w:color w:val="000000"/>
                <w:sz w:val="20"/>
                <w:szCs w:val="20"/>
              </w:rPr>
            </w:pPr>
          </w:p>
        </w:tc>
        <w:tc>
          <w:tcPr>
            <w:tcW w:w="4125" w:type="dxa"/>
            <w:tcBorders>
              <w:top w:val="single" w:color="auto" w:sz="8" w:space="0"/>
              <w:left w:val="single" w:color="auto" w:sz="4" w:space="0"/>
              <w:bottom w:val="single" w:color="auto" w:sz="4"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非全日制研究生、中外合作办学、委托培养费、函大电大夜大及短期培训费实行市场调节。</w:t>
            </w:r>
          </w:p>
        </w:tc>
        <w:tc>
          <w:tcPr>
            <w:tcW w:w="1065" w:type="dxa"/>
            <w:vMerge w:val="continue"/>
            <w:tcBorders>
              <w:top w:val="nil"/>
              <w:left w:val="nil"/>
              <w:bottom w:val="single" w:color="auto" w:sz="4" w:space="0"/>
              <w:right w:val="single" w:color="auto" w:sz="8" w:space="0"/>
            </w:tcBorders>
            <w:noWrap w:val="0"/>
            <w:vAlign w:val="center"/>
          </w:tcPr>
          <w:p>
            <w:pPr>
              <w:rPr>
                <w:rFonts w:hint="default" w:ascii="Times New Roman" w:hAnsi="Times New Roman" w:cs="Times New Roman"/>
                <w:color w:val="000000"/>
                <w:sz w:val="20"/>
                <w:szCs w:val="20"/>
              </w:rPr>
            </w:pPr>
          </w:p>
        </w:tc>
        <w:tc>
          <w:tcPr>
            <w:tcW w:w="4080" w:type="dxa"/>
            <w:vMerge w:val="continue"/>
            <w:tcBorders>
              <w:top w:val="nil"/>
              <w:left w:val="nil"/>
              <w:bottom w:val="single" w:color="auto" w:sz="4" w:space="0"/>
              <w:right w:val="single" w:color="auto" w:sz="4" w:space="0"/>
            </w:tcBorders>
            <w:noWrap w:val="0"/>
            <w:vAlign w:val="center"/>
          </w:tcPr>
          <w:p>
            <w:pPr>
              <w:rPr>
                <w:rFonts w:hint="default" w:ascii="Times New Roman" w:hAnsi="Times New Roman" w:cs="Times New Roman"/>
                <w:color w:val="000000"/>
                <w:sz w:val="20"/>
                <w:szCs w:val="20"/>
              </w:rPr>
            </w:pPr>
          </w:p>
        </w:tc>
        <w:tc>
          <w:tcPr>
            <w:tcW w:w="1020" w:type="dxa"/>
            <w:vMerge w:val="continue"/>
            <w:tcBorders>
              <w:top w:val="nil"/>
              <w:left w:val="single" w:color="auto" w:sz="4" w:space="0"/>
              <w:bottom w:val="single" w:color="auto" w:sz="8" w:space="0"/>
            </w:tcBorders>
            <w:noWrap w:val="0"/>
            <w:vAlign w:val="center"/>
          </w:tcPr>
          <w:p>
            <w:pPr>
              <w:rPr>
                <w:rFonts w:hint="default" w:ascii="Times New Roman" w:hAnsi="Times New Roman"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153" w:hRule="atLeast"/>
        </w:trPr>
        <w:tc>
          <w:tcPr>
            <w:tcW w:w="912" w:type="dxa"/>
            <w:vMerge w:val="restart"/>
            <w:tcBorders>
              <w:top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七</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vMerge w:val="restart"/>
            <w:tcBorders>
              <w:top w:val="single" w:color="auto" w:sz="8" w:space="0"/>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自然                              资源</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10</w:t>
            </w:r>
            <w:r>
              <w:rPr>
                <w:rFonts w:hint="eastAsia" w:ascii="宋体" w:hAnsi="宋体" w:eastAsia="宋体" w:cs="宋体"/>
                <w:color w:val="000000"/>
                <w:kern w:val="0"/>
                <w:sz w:val="18"/>
                <w:szCs w:val="18"/>
                <w:lang w:val="en-US" w:eastAsia="zh-CN" w:bidi="ar"/>
              </w:rPr>
              <w:t>.土地复垦费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10元/平方米，占用基本农田20元/平方米。</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《土地管理法》，《土地复垦条例》，财税〔2014〕77号，财政部 税务总局 发展改革委 民政部 商务部 卫生健康委公告2019年第76号，辽政发〔2000〕48号。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952" w:hRule="atLeast"/>
        </w:trPr>
        <w:tc>
          <w:tcPr>
            <w:tcW w:w="912" w:type="dxa"/>
            <w:vMerge w:val="continue"/>
            <w:tcBorders>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p>
        </w:tc>
        <w:tc>
          <w:tcPr>
            <w:tcW w:w="960" w:type="dxa"/>
            <w:vMerge w:val="continue"/>
            <w:tcBorders>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11</w:t>
            </w:r>
            <w:r>
              <w:rPr>
                <w:rFonts w:hint="eastAsia" w:ascii="宋体" w:hAnsi="宋体" w:eastAsia="宋体" w:cs="宋体"/>
                <w:color w:val="000000"/>
                <w:kern w:val="0"/>
                <w:sz w:val="18"/>
                <w:szCs w:val="18"/>
                <w:lang w:val="en-US" w:eastAsia="zh-CN" w:bidi="ar"/>
              </w:rPr>
              <w:t>.土地闲置费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除因不可抗力或者政府、政府有关部门的行为或者动工开发必需的前期工作造成动工开发迟延的外，超过出让合同约定的动工开发日期满一年未动工开发的，可以征收相当于土地使用权出让金百分之二十以下的土地闲置费。自2021年7月1日起土地闲置费划转至税务部门征收。</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《土地管理法》，《城市房地产管理法》，国发〔2008〕3号，财税〔2014〕77号,财政部 税务总局 发展改革委 民政部 商务部 卫生健康委公告2019年第76号，辽财税〔2021〕133号。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2576" w:hRule="atLeast"/>
        </w:trPr>
        <w:tc>
          <w:tcPr>
            <w:tcW w:w="912" w:type="dxa"/>
            <w:vMerge w:val="continue"/>
            <w:tcBorders>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p>
        </w:tc>
        <w:tc>
          <w:tcPr>
            <w:tcW w:w="960" w:type="dxa"/>
            <w:vMerge w:val="continue"/>
            <w:tcBorders>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12</w:t>
            </w:r>
            <w:r>
              <w:rPr>
                <w:rFonts w:hint="eastAsia" w:ascii="宋体" w:hAnsi="宋体" w:eastAsia="宋体" w:cs="宋体"/>
                <w:color w:val="000000"/>
                <w:kern w:val="0"/>
                <w:sz w:val="18"/>
                <w:szCs w:val="18"/>
                <w:lang w:val="en-US" w:eastAsia="zh-CN" w:bidi="ar"/>
              </w:rPr>
              <w:t>.耕地开垦费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土地管理法》第三十条：“非农业建设经批准占用耕地的，按照“占多少，垦多少”的原则，由占用耕地的单位负责开垦与所占用耕地的数量和质量相当的耕地；没有条件开垦或者开垦的耕地不符合要求的，应当按照省、自治区、直辖市的规定缴纳耕地开垦费，专款用于开垦新的耕地。具体征收标准及要求按照辽政办〔2020〕15号文件（自2020年6月1日起实施）规定执行。</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《土地管理法》，《土地管理法实施条例》，财税〔2014〕77号,财政部 税务总局 发展改革委 民政部 商务部 卫生健康委公告2019年第76号，辽政办〔2020〕15号。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690" w:hRule="atLeast"/>
        </w:trPr>
        <w:tc>
          <w:tcPr>
            <w:tcW w:w="912" w:type="dxa"/>
            <w:vMerge w:val="continue"/>
            <w:tcBorders>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p>
        </w:tc>
        <w:tc>
          <w:tcPr>
            <w:tcW w:w="960" w:type="dxa"/>
            <w:vMerge w:val="continue"/>
            <w:tcBorders>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13</w:t>
            </w:r>
            <w:r>
              <w:rPr>
                <w:rFonts w:hint="eastAsia" w:ascii="宋体" w:hAnsi="宋体" w:eastAsia="宋体" w:cs="宋体"/>
                <w:color w:val="000000"/>
                <w:kern w:val="0"/>
                <w:sz w:val="18"/>
                <w:szCs w:val="18"/>
                <w:lang w:val="en-US" w:eastAsia="zh-CN" w:bidi="ar"/>
              </w:rPr>
              <w:t>.草原植被恢复费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人工草地4元/平方米，天然草原6元/平方米。</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《草原法》，财综〔2010〕29号，发改价格〔2010〕1235号，辽财非〔2010〕1138号，辽发改收费函〔2020〕6号,</w:t>
            </w:r>
            <w:r>
              <w:rPr>
                <w:rFonts w:hint="default" w:ascii="Times New Roman" w:hAnsi="Times New Roman" w:eastAsia="宋体" w:cs="Times New Roman"/>
                <w:color w:val="000000"/>
                <w:kern w:val="2"/>
                <w:sz w:val="21"/>
                <w:szCs w:val="21"/>
                <w:lang w:val="en-US" w:eastAsia="zh-CN" w:bidi="ar"/>
              </w:rPr>
              <w:t xml:space="preserve"> </w:t>
            </w:r>
            <w:r>
              <w:rPr>
                <w:rFonts w:hint="eastAsia" w:ascii="宋体" w:hAnsi="宋体" w:eastAsia="宋体" w:cs="宋体"/>
                <w:color w:val="000000"/>
                <w:kern w:val="0"/>
                <w:sz w:val="18"/>
                <w:szCs w:val="18"/>
                <w:lang w:val="en-US" w:eastAsia="zh-CN" w:bidi="ar"/>
              </w:rPr>
              <w:t>辽财税（2022）269号</w:t>
            </w:r>
            <w:r>
              <w:rPr>
                <w:rFonts w:hint="default" w:ascii="宋体" w:hAnsi="宋体" w:cs="宋体"/>
                <w:color w:val="000000"/>
                <w:kern w:val="0"/>
                <w:sz w:val="18"/>
                <w:szCs w:val="18"/>
                <w:lang w:eastAsia="zh-CN" w:bidi="ar"/>
              </w:rPr>
              <w:t>，</w:t>
            </w:r>
            <w:r>
              <w:rPr>
                <w:rFonts w:hint="eastAsia" w:ascii="宋体" w:hAnsi="宋体" w:eastAsia="宋体" w:cs="宋体"/>
                <w:color w:val="000000"/>
                <w:kern w:val="0"/>
                <w:sz w:val="18"/>
                <w:szCs w:val="18"/>
                <w:lang w:val="en-US" w:eastAsia="zh-CN" w:bidi="ar"/>
              </w:rPr>
              <w:t>辽发改价格函（2023）4号。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181"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14</w:t>
            </w:r>
            <w:r>
              <w:rPr>
                <w:rFonts w:hint="eastAsia" w:ascii="宋体" w:hAnsi="宋体" w:eastAsia="宋体" w:cs="宋体"/>
                <w:color w:val="000000"/>
                <w:kern w:val="0"/>
                <w:sz w:val="18"/>
                <w:szCs w:val="18"/>
                <w:lang w:val="en-US" w:eastAsia="zh-CN" w:bidi="ar"/>
              </w:rPr>
              <w:t>.不动产登记费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住宅类：80元/件；非住宅类：550元/件；证书工本费：按规定核发一本证书不收工本费，向一个以上不动产权利人核发证书的，每增加一本加收10元。</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《物权法》，财税〔2014〕77号，财税〔2016〕79号，发改价格规〔2016〕2559号，财税〔2019〕45号，财税〔2019〕53号</w:t>
            </w:r>
            <w:r>
              <w:rPr>
                <w:rFonts w:hint="default" w:ascii="宋体" w:hAnsi="宋体" w:cs="宋体"/>
                <w:color w:val="000000"/>
                <w:kern w:val="0"/>
                <w:sz w:val="18"/>
                <w:szCs w:val="18"/>
                <w:lang w:eastAsia="zh-CN" w:bidi="ar"/>
              </w:rPr>
              <w:t>，</w:t>
            </w:r>
            <w:r>
              <w:rPr>
                <w:rFonts w:hint="eastAsia" w:ascii="宋体" w:hAnsi="宋体" w:eastAsia="宋体" w:cs="宋体"/>
                <w:color w:val="000000"/>
                <w:kern w:val="0"/>
                <w:sz w:val="18"/>
                <w:szCs w:val="18"/>
                <w:lang w:val="en-US" w:eastAsia="zh-CN" w:bidi="ar"/>
              </w:rPr>
              <w:t>财政部 税务总局 发展改革委 民政部 商务部 卫生健康委公告2019年第76号。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140" w:hRule="atLeast"/>
        </w:trPr>
        <w:tc>
          <w:tcPr>
            <w:tcW w:w="912" w:type="dxa"/>
            <w:vMerge w:val="restart"/>
            <w:tcBorders>
              <w:top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八</w:t>
            </w:r>
          </w:p>
        </w:tc>
        <w:tc>
          <w:tcPr>
            <w:tcW w:w="960" w:type="dxa"/>
            <w:vMerge w:val="restart"/>
            <w:tcBorders>
              <w:top w:val="single" w:color="auto" w:sz="8" w:space="0"/>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highlight w:val="none"/>
                <w:lang w:val="en-US" w:eastAsia="zh-CN" w:bidi="ar"/>
              </w:rPr>
              <w:t>住建</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15.城市道路占用挖掘修复费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城市道路占用费0.1-10元/日.平方米；城市道路挖掘修复费按实际挖掘面积30－520元/平方米。</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《城市道路管理条例》，建城〔1993〕410号，财税〔2015〕68号，辽建发〔1995〕53号，辽住建〔2011〕240号，辽财税〔2020〕268号，沈文城发〔1993〕8号，沈价发〔1993〕90号。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140" w:hRule="atLeast"/>
        </w:trPr>
        <w:tc>
          <w:tcPr>
            <w:tcW w:w="912" w:type="dxa"/>
            <w:vMerge w:val="continue"/>
            <w:tcBorders>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tc>
        <w:tc>
          <w:tcPr>
            <w:tcW w:w="960" w:type="dxa"/>
            <w:vMerge w:val="continue"/>
            <w:tcBorders>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highlight w:val="yellow"/>
                <w:lang w:val="en-US" w:eastAsia="zh-CN" w:bidi="ar"/>
              </w:rPr>
            </w:pP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highlight w:val="none"/>
                <w:lang w:val="en-US" w:eastAsia="zh-CN" w:bidi="ar"/>
              </w:rPr>
              <w:t>16</w:t>
            </w:r>
            <w:r>
              <w:rPr>
                <w:rFonts w:hint="eastAsia" w:ascii="宋体" w:hAnsi="宋体" w:eastAsia="宋体" w:cs="宋体"/>
                <w:color w:val="000000"/>
                <w:kern w:val="0"/>
                <w:sz w:val="18"/>
                <w:szCs w:val="18"/>
                <w:highlight w:val="none"/>
                <w:lang w:val="en-US" w:eastAsia="zh-CN" w:bidi="ar"/>
              </w:rPr>
              <w:t>.污水处理费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bidi="ar"/>
              </w:rPr>
              <w:t>居民用水类0.95元/吨；非居民用水类1.4元/吨。</w:t>
            </w:r>
            <w:r>
              <w:t xml:space="preserve"> </w:t>
            </w:r>
            <w:r>
              <w:rPr>
                <w:rFonts w:hint="eastAsia" w:asciiTheme="minorEastAsia" w:hAnsiTheme="minorEastAsia" w:eastAsiaTheme="minorEastAsia" w:cstheme="minorEastAsia"/>
                <w:spacing w:val="-1"/>
                <w:sz w:val="18"/>
                <w:szCs w:val="18"/>
              </w:rPr>
              <w:t>康平、法库县居民用水类0.85元/吨；非居民用水</w:t>
            </w:r>
            <w:r>
              <w:rPr>
                <w:rFonts w:hint="eastAsia" w:asciiTheme="minorEastAsia" w:hAnsiTheme="minorEastAsia" w:eastAsiaTheme="minorEastAsia" w:cstheme="minorEastAsia"/>
                <w:spacing w:val="9"/>
                <w:sz w:val="18"/>
                <w:szCs w:val="18"/>
              </w:rPr>
              <w:t>类1.2元/吨。</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leftChars="0" w:right="0" w:rightChars="0"/>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bidi="ar"/>
              </w:rPr>
              <w:t>《水污染防治法》,《城镇排水与污水处理条例》，财税〔2014〕151号，发改价格〔2015〕119号，省政府令2009年 第235号，辽政办发〔2008〕60号，辽价发〔2018〕38号</w:t>
            </w:r>
            <w:r>
              <w:rPr>
                <w:rFonts w:hint="default" w:ascii="宋体" w:hAnsi="宋体" w:cs="宋体"/>
                <w:color w:val="000000"/>
                <w:kern w:val="0"/>
                <w:sz w:val="18"/>
                <w:szCs w:val="18"/>
                <w:lang w:eastAsia="zh-CN" w:bidi="ar"/>
              </w:rPr>
              <w:t>，</w:t>
            </w:r>
            <w:r>
              <w:rPr>
                <w:rFonts w:hint="eastAsia" w:ascii="宋体" w:hAnsi="宋体" w:eastAsia="宋体" w:cs="宋体"/>
                <w:color w:val="000000"/>
                <w:kern w:val="0"/>
                <w:sz w:val="18"/>
                <w:szCs w:val="18"/>
                <w:lang w:val="en-US" w:eastAsia="zh-CN" w:bidi="ar"/>
              </w:rPr>
              <w:t>沈价发〔2016〕42号，康价[2016]16号。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leftChars="0" w:right="0" w:rightChars="0"/>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020"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r>
              <w:rPr>
                <w:rFonts w:hint="eastAsia" w:ascii="宋体" w:hAnsi="宋体" w:cs="宋体"/>
                <w:color w:val="000000"/>
                <w:kern w:val="0"/>
                <w:sz w:val="18"/>
                <w:szCs w:val="18"/>
                <w:lang w:val="en-US" w:eastAsia="zh-CN" w:bidi="ar"/>
              </w:rPr>
              <w:t>九</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水务</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17</w:t>
            </w:r>
            <w:r>
              <w:rPr>
                <w:rFonts w:hint="eastAsia" w:ascii="宋体" w:hAnsi="宋体" w:eastAsia="宋体" w:cs="宋体"/>
                <w:color w:val="000000"/>
                <w:kern w:val="0"/>
                <w:sz w:val="18"/>
                <w:szCs w:val="18"/>
                <w:lang w:val="en-US" w:eastAsia="zh-CN" w:bidi="ar"/>
              </w:rPr>
              <w:t>.水土保持补偿费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按辽价发〔2018〕56号文件执行。</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《水土保持法》，财综〔2014〕8号，发改价格〔2017〕1186号，辽财非〔2014〕277号，辽价发〔2017〕61号，辽价发〔2018〕56号，辽财税〔2020〕383号。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769"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十</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卫生                                   健康</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18.新冠病毒核酸检测费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参照省医疗保障局、省卫生健康委员会制定的公立医疗机构新冠病毒核酸检测最高限价标准执行。</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leftChars="0" w:right="0" w:rightChars="0"/>
              <w:jc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国办发明电〔2020〕22号，辽财税函〔2021〕207号。</w:t>
            </w:r>
            <w:bookmarkStart w:id="0" w:name="_GoBack"/>
            <w:bookmarkEnd w:id="0"/>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2359"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default"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十</w:t>
            </w:r>
            <w:r>
              <w:rPr>
                <w:rFonts w:hint="eastAsia" w:ascii="宋体" w:hAnsi="宋体" w:cs="宋体"/>
                <w:color w:val="000000"/>
                <w:kern w:val="0"/>
                <w:sz w:val="18"/>
                <w:szCs w:val="18"/>
                <w:lang w:val="en-US" w:eastAsia="zh-CN" w:bidi="ar"/>
              </w:rPr>
              <w:t>一</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民政</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19.殡葬收费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①遗体接运费</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1.普通 300元/具，次(车型:蒙派克);</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2.中档400元/具，次(车型:依维柯、金杯和福田);以上收费标准含抬尸费和消毒费。</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（外埠遗体接运费应以我县接运遗体服务费标准（普通车：300元/具，次、中档车：400元/具，次，含抬尸费和消毒费）为依据，由双方协商议定。）</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②遗体存放费</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1.高档遗体冷藏间 500 元/天;</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2.中档遗体冷藏间 300元/天;</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3.普通遗体冷藏间 100元/天。</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③遗体火化费</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高档拣灰炉 740 元/具。</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④骨灰寄存费</w:t>
            </w:r>
          </w:p>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骨灰盒寄存:240元/年。</w:t>
            </w:r>
          </w:p>
          <w:p>
            <w:pPr>
              <w:keepNext w:val="0"/>
              <w:keepLines w:val="0"/>
              <w:widowControl/>
              <w:suppressLineNumbers w:val="0"/>
              <w:spacing w:before="0" w:beforeLines="0" w:beforeAutospacing="0" w:after="0" w:afterLines="0" w:afterAutospacing="0"/>
              <w:ind w:left="0" w:right="0"/>
              <w:jc w:val="left"/>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若涉及减免情况，按照沈民〔2022〕6号、</w:t>
            </w:r>
            <w:r>
              <w:rPr>
                <w:rFonts w:hint="eastAsia" w:asciiTheme="minorEastAsia" w:hAnsiTheme="minorEastAsia" w:eastAsiaTheme="minorEastAsia" w:cstheme="minorEastAsia"/>
                <w:color w:val="000000"/>
                <w:kern w:val="0"/>
                <w:sz w:val="18"/>
                <w:szCs w:val="18"/>
                <w:lang w:val="en-US" w:eastAsia="zh-CN" w:bidi="ar"/>
              </w:rPr>
              <w:t>沈民发〔2025〕18号文件执行</w:t>
            </w:r>
            <w:r>
              <w:rPr>
                <w:rFonts w:hint="eastAsia" w:asciiTheme="minorEastAsia" w:hAnsiTheme="minorEastAsia" w:cstheme="minorEastAsia"/>
                <w:color w:val="000000"/>
                <w:kern w:val="0"/>
                <w:sz w:val="18"/>
                <w:szCs w:val="18"/>
                <w:lang w:val="en-US" w:eastAsia="zh-CN" w:bidi="ar"/>
              </w:rPr>
              <w:t>。</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价费字〔1992〕249号，发改价格〔2012〕673号，辽价发〔2018〕38号，沈民〔2022〕2号，</w:t>
            </w:r>
            <w:r>
              <w:rPr>
                <w:rFonts w:hint="eastAsia" w:asciiTheme="minorEastAsia" w:hAnsiTheme="minorEastAsia" w:eastAsiaTheme="minorEastAsia" w:cstheme="minorEastAsia"/>
                <w:b w:val="0"/>
                <w:bCs w:val="0"/>
                <w:kern w:val="2"/>
                <w:sz w:val="18"/>
                <w:szCs w:val="18"/>
                <w:lang w:val="en-US" w:eastAsia="zh-CN" w:bidi="ar-SA"/>
              </w:rPr>
              <w:t>康发改发〔2023〕3号</w:t>
            </w:r>
            <w:r>
              <w:rPr>
                <w:rFonts w:hint="eastAsia" w:asciiTheme="minorEastAsia" w:hAnsiTheme="minorEastAsia" w:cstheme="minorEastAsia"/>
                <w:b w:val="0"/>
                <w:bCs w:val="0"/>
                <w:kern w:val="2"/>
                <w:sz w:val="18"/>
                <w:szCs w:val="18"/>
                <w:lang w:val="en-US" w:eastAsia="zh-CN" w:bidi="ar-SA"/>
              </w:rPr>
              <w:t>，康发改发〔2024〕6号</w:t>
            </w:r>
            <w:r>
              <w:rPr>
                <w:rFonts w:hint="eastAsia" w:asciiTheme="minorEastAsia" w:hAnsiTheme="minorEastAsia" w:eastAsiaTheme="minorEastAsia" w:cstheme="minorEastAsia"/>
                <w:color w:val="000000"/>
                <w:kern w:val="0"/>
                <w:sz w:val="18"/>
                <w:szCs w:val="18"/>
                <w:lang w:val="en-US" w:eastAsia="zh-CN" w:bidi="ar"/>
              </w:rPr>
              <w:t>。</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360"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default"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十</w:t>
            </w:r>
            <w:r>
              <w:rPr>
                <w:rFonts w:hint="eastAsia" w:ascii="宋体" w:hAnsi="宋体" w:cs="宋体"/>
                <w:color w:val="000000"/>
                <w:kern w:val="0"/>
                <w:sz w:val="18"/>
                <w:szCs w:val="18"/>
                <w:lang w:val="en-US" w:eastAsia="zh-CN" w:bidi="ar"/>
              </w:rPr>
              <w:t>二</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市场                                              监管</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20.特种设备检验检测费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按辽价发〔2017〕97号文件执行。</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《中华人民共和国特种设备安全法》，《特种设备安全监察条例》，发改价格〔2015〕1299号，财综〔2011〕16号，财综〔2001〕10号，辽价发〔2017〕97号。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584" w:hRule="atLeast"/>
        </w:trPr>
        <w:tc>
          <w:tcPr>
            <w:tcW w:w="912" w:type="dxa"/>
            <w:tcBorders>
              <w:top w:val="single" w:color="auto" w:sz="8" w:space="0"/>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default"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十</w:t>
            </w:r>
            <w:r>
              <w:rPr>
                <w:rFonts w:hint="eastAsia" w:ascii="宋体" w:hAnsi="宋体" w:cs="宋体"/>
                <w:color w:val="000000"/>
                <w:kern w:val="0"/>
                <w:sz w:val="18"/>
                <w:szCs w:val="18"/>
                <w:lang w:val="en-US" w:eastAsia="zh-CN" w:bidi="ar"/>
              </w:rPr>
              <w:t>三</w:t>
            </w:r>
          </w:p>
        </w:tc>
        <w:tc>
          <w:tcPr>
            <w:tcW w:w="96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有关                                      部门</w:t>
            </w:r>
          </w:p>
        </w:tc>
        <w:tc>
          <w:tcPr>
            <w:tcW w:w="183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21.政府信息公开信息处理费</w:t>
            </w:r>
          </w:p>
        </w:tc>
        <w:tc>
          <w:tcPr>
            <w:tcW w:w="412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按国办函</w:t>
            </w:r>
            <w:r>
              <w:rPr>
                <w:rFonts w:hint="eastAsia" w:ascii="仿宋_GB2312" w:hAnsi="宋体" w:eastAsia="仿宋_GB2312" w:cs="仿宋_GB2312"/>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2020</w:t>
            </w:r>
            <w:r>
              <w:rPr>
                <w:rFonts w:hint="eastAsia" w:ascii="仿宋_GB2312" w:hAnsi="宋体" w:eastAsia="仿宋_GB2312" w:cs="仿宋_GB2312"/>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109号文件执行。</w:t>
            </w:r>
          </w:p>
        </w:tc>
        <w:tc>
          <w:tcPr>
            <w:tcW w:w="1065"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《政府信息公开条例》，国办函〔2020〕109号。</w:t>
            </w:r>
          </w:p>
        </w:tc>
        <w:tc>
          <w:tcPr>
            <w:tcW w:w="1020" w:type="dxa"/>
            <w:tcBorders>
              <w:top w:val="single" w:color="auto" w:sz="8" w:space="0"/>
              <w:left w:val="nil"/>
              <w:bottom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624" w:hRule="atLeast"/>
        </w:trPr>
        <w:tc>
          <w:tcPr>
            <w:tcW w:w="912" w:type="dxa"/>
            <w:tcBorders>
              <w:top w:val="single" w:color="auto" w:sz="8" w:space="0"/>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22.考试考务费</w:t>
            </w:r>
          </w:p>
        </w:tc>
        <w:tc>
          <w:tcPr>
            <w:tcW w:w="4125" w:type="dxa"/>
            <w:tcBorders>
              <w:top w:val="single" w:color="auto" w:sz="8" w:space="0"/>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分别按相关文件规定执行。</w:t>
            </w:r>
          </w:p>
        </w:tc>
        <w:tc>
          <w:tcPr>
            <w:tcW w:w="1065" w:type="dxa"/>
            <w:tcBorders>
              <w:top w:val="single" w:color="auto" w:sz="8" w:space="0"/>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缴入国库财政专户</w:t>
            </w:r>
          </w:p>
        </w:tc>
        <w:tc>
          <w:tcPr>
            <w:tcW w:w="4080" w:type="dxa"/>
            <w:tcBorders>
              <w:top w:val="single" w:color="auto" w:sz="8" w:space="0"/>
              <w:left w:val="nil"/>
              <w:right w:val="single" w:color="auto" w:sz="8" w:space="0"/>
            </w:tcBorders>
            <w:noWrap w:val="0"/>
            <w:vAlign w:val="center"/>
          </w:tcPr>
          <w:p>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详见考试考务费清单。</w:t>
            </w:r>
          </w:p>
        </w:tc>
        <w:tc>
          <w:tcPr>
            <w:tcW w:w="1020" w:type="dxa"/>
            <w:tcBorders>
              <w:top w:val="single" w:color="auto" w:sz="8" w:space="0"/>
              <w:left w:val="nil"/>
            </w:tcBorders>
            <w:noWrap w:val="0"/>
            <w:vAlign w:val="center"/>
          </w:tcPr>
          <w:p>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中央、省</w:t>
            </w:r>
          </w:p>
        </w:tc>
      </w:tr>
    </w:tbl>
    <w:p>
      <w:pPr>
        <w:tabs>
          <w:tab w:val="left" w:pos="3155"/>
        </w:tabs>
        <w:bidi w:val="0"/>
        <w:jc w:val="left"/>
        <w:rPr>
          <w:rFonts w:hint="eastAsia"/>
          <w:lang w:val="en-US" w:eastAsia="zh-CN"/>
        </w:rPr>
      </w:pPr>
    </w:p>
    <w:sectPr>
      <w:headerReference r:id="rId3" w:type="default"/>
      <w:footerReference r:id="rId4" w:type="default"/>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w:pict>
        <v:shape id="_x0000_s4103" o:spid="_x0000_s410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xMWUzY2EwYmE1NjMwZDVmZTZiNjBmYzMyNjM1ZWUifQ=="/>
  </w:docVars>
  <w:rsids>
    <w:rsidRoot w:val="004375B6"/>
    <w:rsid w:val="00010A5B"/>
    <w:rsid w:val="00021B53"/>
    <w:rsid w:val="000915A8"/>
    <w:rsid w:val="00097E91"/>
    <w:rsid w:val="000A3826"/>
    <w:rsid w:val="000B56E0"/>
    <w:rsid w:val="000D2B2B"/>
    <w:rsid w:val="000F382B"/>
    <w:rsid w:val="00110550"/>
    <w:rsid w:val="001720B6"/>
    <w:rsid w:val="001803C2"/>
    <w:rsid w:val="0018252D"/>
    <w:rsid w:val="0019056F"/>
    <w:rsid w:val="00192793"/>
    <w:rsid w:val="0020250C"/>
    <w:rsid w:val="0025177D"/>
    <w:rsid w:val="00294D7C"/>
    <w:rsid w:val="002E7E83"/>
    <w:rsid w:val="00322966"/>
    <w:rsid w:val="0034450E"/>
    <w:rsid w:val="0034605C"/>
    <w:rsid w:val="00364466"/>
    <w:rsid w:val="003C44EF"/>
    <w:rsid w:val="00434BCC"/>
    <w:rsid w:val="004375B6"/>
    <w:rsid w:val="0044597D"/>
    <w:rsid w:val="004829AB"/>
    <w:rsid w:val="0048699C"/>
    <w:rsid w:val="004A4CC4"/>
    <w:rsid w:val="004B33AB"/>
    <w:rsid w:val="004C0A90"/>
    <w:rsid w:val="005668BC"/>
    <w:rsid w:val="005C46F5"/>
    <w:rsid w:val="005F4FD1"/>
    <w:rsid w:val="00611CC9"/>
    <w:rsid w:val="00630FF9"/>
    <w:rsid w:val="006525C8"/>
    <w:rsid w:val="00654D93"/>
    <w:rsid w:val="00677C34"/>
    <w:rsid w:val="006C7DCE"/>
    <w:rsid w:val="006D6B3D"/>
    <w:rsid w:val="007317B7"/>
    <w:rsid w:val="0078691B"/>
    <w:rsid w:val="00791E57"/>
    <w:rsid w:val="007E3326"/>
    <w:rsid w:val="007F60FB"/>
    <w:rsid w:val="008021AD"/>
    <w:rsid w:val="008861D5"/>
    <w:rsid w:val="0089311B"/>
    <w:rsid w:val="008A1B95"/>
    <w:rsid w:val="008B67F8"/>
    <w:rsid w:val="008B7CDA"/>
    <w:rsid w:val="00951649"/>
    <w:rsid w:val="00973177"/>
    <w:rsid w:val="009B701D"/>
    <w:rsid w:val="009C0B9D"/>
    <w:rsid w:val="009E6E8D"/>
    <w:rsid w:val="00A153EA"/>
    <w:rsid w:val="00AA5775"/>
    <w:rsid w:val="00AB3735"/>
    <w:rsid w:val="00AC68E0"/>
    <w:rsid w:val="00B10807"/>
    <w:rsid w:val="00B36A2A"/>
    <w:rsid w:val="00BB6BC3"/>
    <w:rsid w:val="00BC3405"/>
    <w:rsid w:val="00BD391B"/>
    <w:rsid w:val="00BF5AFC"/>
    <w:rsid w:val="00C4563E"/>
    <w:rsid w:val="00C649B8"/>
    <w:rsid w:val="00C654A3"/>
    <w:rsid w:val="00CA3015"/>
    <w:rsid w:val="00CC2A63"/>
    <w:rsid w:val="00D34D0E"/>
    <w:rsid w:val="00DC18B5"/>
    <w:rsid w:val="00DF6276"/>
    <w:rsid w:val="00E00817"/>
    <w:rsid w:val="00E723D0"/>
    <w:rsid w:val="00E93271"/>
    <w:rsid w:val="00EC6BBC"/>
    <w:rsid w:val="00EC7867"/>
    <w:rsid w:val="00F05FD2"/>
    <w:rsid w:val="00FA0BA0"/>
    <w:rsid w:val="00FB0C39"/>
    <w:rsid w:val="00FC74BE"/>
    <w:rsid w:val="00FF0207"/>
    <w:rsid w:val="00FF417F"/>
    <w:rsid w:val="0116312F"/>
    <w:rsid w:val="062B1CFE"/>
    <w:rsid w:val="0B230FA8"/>
    <w:rsid w:val="167F49E3"/>
    <w:rsid w:val="182D317C"/>
    <w:rsid w:val="2A0828D0"/>
    <w:rsid w:val="2B8C32E8"/>
    <w:rsid w:val="2DA56706"/>
    <w:rsid w:val="310D51D7"/>
    <w:rsid w:val="31C72172"/>
    <w:rsid w:val="323908E5"/>
    <w:rsid w:val="325265D8"/>
    <w:rsid w:val="3608255F"/>
    <w:rsid w:val="36D4113A"/>
    <w:rsid w:val="3916743E"/>
    <w:rsid w:val="3A4319AD"/>
    <w:rsid w:val="3AF8238F"/>
    <w:rsid w:val="3BEF7F80"/>
    <w:rsid w:val="40FE48BA"/>
    <w:rsid w:val="41AC6385"/>
    <w:rsid w:val="41DD70C6"/>
    <w:rsid w:val="4597249C"/>
    <w:rsid w:val="48BA24D7"/>
    <w:rsid w:val="4AA808CB"/>
    <w:rsid w:val="5B587D04"/>
    <w:rsid w:val="5BBE1D98"/>
    <w:rsid w:val="5CFDF2DF"/>
    <w:rsid w:val="5D686FCA"/>
    <w:rsid w:val="5F6708A7"/>
    <w:rsid w:val="60DC17C6"/>
    <w:rsid w:val="62D60AA6"/>
    <w:rsid w:val="66C76E6E"/>
    <w:rsid w:val="67EB3956"/>
    <w:rsid w:val="6FD1164A"/>
    <w:rsid w:val="75911729"/>
    <w:rsid w:val="79AC4644"/>
    <w:rsid w:val="79C84B58"/>
    <w:rsid w:val="F7BF2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79"/>
      <w:szCs w:val="79"/>
      <w:lang w:val="en-US" w:eastAsia="en-US" w:bidi="ar-SA"/>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unhideWhenUsed/>
    <w:qFormat/>
    <w:uiPriority w:val="99"/>
    <w:rPr>
      <w:rFonts w:hint="default"/>
      <w:sz w:val="24"/>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 w:type="paragraph" w:customStyle="1" w:styleId="11">
    <w:name w:val="Table Text"/>
    <w:basedOn w:val="1"/>
    <w:semiHidden/>
    <w:qFormat/>
    <w:uiPriority w:val="0"/>
    <w:rPr>
      <w:rFonts w:ascii="宋体" w:hAnsi="宋体" w:eastAsia="宋体" w:cs="宋体"/>
      <w:sz w:val="19"/>
      <w:szCs w:val="19"/>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10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3770</Words>
  <Characters>4577</Characters>
  <Lines>5</Lines>
  <Paragraphs>1</Paragraphs>
  <TotalTime>3</TotalTime>
  <ScaleCrop>false</ScaleCrop>
  <LinksUpToDate>false</LinksUpToDate>
  <CharactersWithSpaces>4825</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2021-08-02T18:08:00Z</dcterms:created>
  <dc:creator>Administrator</dc:creator>
  <cp:lastModifiedBy>user</cp:lastModifiedBy>
  <cp:lastPrinted>2024-06-27T22:52:00Z</cp:lastPrinted>
  <dcterms:modified xsi:type="dcterms:W3CDTF">2025-07-15T08:44:07Z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3F53823CD0644F6CAC02FD82803E75A3_12</vt:lpwstr>
  </property>
  <property fmtid="{D5CDD505-2E9C-101B-9397-08002B2CF9AE}" pid="4" name="KSOTemplateDocerSaveRecord">
    <vt:lpwstr>eyJoZGlkIjoiYjIxMWUzY2EwYmE1NjMwZDVmZTZiNjBmYzMyNjM1ZWUiLCJ1c2VySWQiOiIxMTU0MjkyOTM0In0=</vt:lpwstr>
  </property>
</Properties>
</file>