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100CC">
      <w:pPr>
        <w:spacing w:line="258" w:lineRule="auto"/>
        <w:rPr>
          <w:rFonts w:ascii="Arial"/>
          <w:sz w:val="21"/>
        </w:rPr>
      </w:pPr>
    </w:p>
    <w:p w14:paraId="61141C0C">
      <w:pPr>
        <w:spacing w:line="259" w:lineRule="auto"/>
        <w:rPr>
          <w:rFonts w:ascii="Arial"/>
          <w:sz w:val="21"/>
        </w:rPr>
      </w:pPr>
    </w:p>
    <w:p w14:paraId="488F6F70">
      <w:pPr>
        <w:spacing w:line="259" w:lineRule="auto"/>
        <w:rPr>
          <w:rFonts w:ascii="Arial"/>
          <w:sz w:val="21"/>
        </w:rPr>
      </w:pPr>
    </w:p>
    <w:p w14:paraId="4E8FA5D7">
      <w:pPr>
        <w:spacing w:before="101" w:line="224" w:lineRule="auto"/>
        <w:ind w:left="149"/>
        <w:rPr>
          <w:rFonts w:ascii="黑体" w:hAnsi="黑体" w:eastAsia="黑体" w:cs="黑体"/>
          <w:sz w:val="31"/>
          <w:szCs w:val="31"/>
        </w:rPr>
      </w:pPr>
      <w:r>
        <w:rPr>
          <w:rFonts w:ascii="黑体" w:hAnsi="黑体" w:eastAsia="黑体" w:cs="黑体"/>
          <w:b/>
          <w:bCs/>
          <w:spacing w:val="24"/>
          <w:sz w:val="31"/>
          <w:szCs w:val="31"/>
        </w:rPr>
        <w:t>附件2</w:t>
      </w:r>
    </w:p>
    <w:p w14:paraId="124E9A14">
      <w:pPr>
        <w:pStyle w:val="2"/>
        <w:spacing w:before="89" w:line="219" w:lineRule="auto"/>
        <w:ind w:left="2930"/>
        <w:rPr>
          <w:sz w:val="39"/>
          <w:szCs w:val="39"/>
        </w:rPr>
      </w:pPr>
      <w:r>
        <w:rPr>
          <w:b/>
          <w:bCs/>
          <w:spacing w:val="-4"/>
          <w:sz w:val="39"/>
          <w:szCs w:val="39"/>
        </w:rPr>
        <w:t>202</w:t>
      </w:r>
      <w:r>
        <w:rPr>
          <w:rFonts w:hint="eastAsia"/>
          <w:b/>
          <w:bCs/>
          <w:spacing w:val="-4"/>
          <w:sz w:val="39"/>
          <w:szCs w:val="39"/>
          <w:lang w:val="en-US" w:eastAsia="zh-CN"/>
        </w:rPr>
        <w:t>5</w:t>
      </w:r>
      <w:r>
        <w:rPr>
          <w:b/>
          <w:bCs/>
          <w:spacing w:val="-4"/>
          <w:sz w:val="39"/>
          <w:szCs w:val="39"/>
        </w:rPr>
        <w:t>年</w:t>
      </w:r>
      <w:r>
        <w:rPr>
          <w:rFonts w:hint="eastAsia"/>
          <w:b/>
          <w:bCs/>
          <w:spacing w:val="-4"/>
          <w:sz w:val="39"/>
          <w:szCs w:val="39"/>
          <w:lang w:val="en-US" w:eastAsia="zh-CN"/>
        </w:rPr>
        <w:t>康平县</w:t>
      </w:r>
      <w:r>
        <w:rPr>
          <w:b/>
          <w:bCs/>
          <w:spacing w:val="-4"/>
          <w:sz w:val="39"/>
          <w:szCs w:val="39"/>
        </w:rPr>
        <w:t>本级涉企政府性基金目录清单</w:t>
      </w:r>
      <w:bookmarkStart w:id="0" w:name="_GoBack"/>
      <w:bookmarkEnd w:id="0"/>
    </w:p>
    <w:p w14:paraId="6F49A02F">
      <w:pPr>
        <w:spacing w:line="45" w:lineRule="auto"/>
        <w:rPr>
          <w:rFonts w:ascii="Arial"/>
          <w:sz w:val="2"/>
        </w:rPr>
      </w:pPr>
    </w:p>
    <w:tbl>
      <w:tblPr>
        <w:tblStyle w:val="8"/>
        <w:tblW w:w="14460" w:type="dxa"/>
        <w:tblInd w:w="-8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5"/>
        <w:gridCol w:w="2599"/>
        <w:gridCol w:w="4841"/>
        <w:gridCol w:w="5190"/>
        <w:gridCol w:w="1035"/>
      </w:tblGrid>
      <w:tr w14:paraId="5FC29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795" w:type="dxa"/>
            <w:vAlign w:val="top"/>
          </w:tcPr>
          <w:p w14:paraId="43D5E455">
            <w:pPr>
              <w:pStyle w:val="7"/>
              <w:spacing w:before="160" w:line="221" w:lineRule="auto"/>
              <w:ind w:left="177"/>
              <w:rPr>
                <w:sz w:val="18"/>
                <w:szCs w:val="18"/>
              </w:rPr>
            </w:pPr>
            <w:r>
              <w:rPr>
                <w:b/>
                <w:bCs/>
                <w:spacing w:val="-4"/>
                <w:sz w:val="18"/>
                <w:szCs w:val="18"/>
              </w:rPr>
              <w:t>序号</w:t>
            </w:r>
          </w:p>
        </w:tc>
        <w:tc>
          <w:tcPr>
            <w:tcW w:w="2599" w:type="dxa"/>
            <w:vAlign w:val="top"/>
          </w:tcPr>
          <w:p w14:paraId="3805EE50">
            <w:pPr>
              <w:pStyle w:val="7"/>
              <w:spacing w:before="160" w:line="220" w:lineRule="auto"/>
              <w:ind w:left="543" w:firstLine="345" w:firstLineChars="200"/>
              <w:rPr>
                <w:sz w:val="18"/>
                <w:szCs w:val="18"/>
              </w:rPr>
            </w:pPr>
            <w:r>
              <w:rPr>
                <w:b/>
                <w:bCs/>
                <w:spacing w:val="-4"/>
                <w:sz w:val="18"/>
                <w:szCs w:val="18"/>
              </w:rPr>
              <w:t>项目名称</w:t>
            </w:r>
          </w:p>
        </w:tc>
        <w:tc>
          <w:tcPr>
            <w:tcW w:w="4841" w:type="dxa"/>
            <w:vAlign w:val="top"/>
          </w:tcPr>
          <w:p w14:paraId="19170F44">
            <w:pPr>
              <w:pStyle w:val="7"/>
              <w:spacing w:before="159" w:line="219" w:lineRule="auto"/>
              <w:ind w:left="1514" w:firstLine="512" w:firstLineChars="300"/>
              <w:rPr>
                <w:sz w:val="18"/>
                <w:szCs w:val="18"/>
              </w:rPr>
            </w:pPr>
            <w:r>
              <w:rPr>
                <w:b/>
                <w:bCs/>
                <w:spacing w:val="-5"/>
                <w:sz w:val="18"/>
                <w:szCs w:val="18"/>
              </w:rPr>
              <w:t>收费标准</w:t>
            </w:r>
          </w:p>
        </w:tc>
        <w:tc>
          <w:tcPr>
            <w:tcW w:w="5190" w:type="dxa"/>
            <w:vAlign w:val="top"/>
          </w:tcPr>
          <w:p w14:paraId="7316EA43">
            <w:pPr>
              <w:pStyle w:val="7"/>
              <w:spacing w:before="158" w:line="219" w:lineRule="auto"/>
              <w:ind w:left="1837" w:firstLine="518" w:firstLineChars="300"/>
              <w:rPr>
                <w:sz w:val="18"/>
                <w:szCs w:val="18"/>
              </w:rPr>
            </w:pPr>
            <w:r>
              <w:rPr>
                <w:b/>
                <w:bCs/>
                <w:spacing w:val="-4"/>
                <w:sz w:val="18"/>
                <w:szCs w:val="18"/>
              </w:rPr>
              <w:t>政策依据</w:t>
            </w:r>
          </w:p>
        </w:tc>
        <w:tc>
          <w:tcPr>
            <w:tcW w:w="1035" w:type="dxa"/>
            <w:vAlign w:val="top"/>
          </w:tcPr>
          <w:p w14:paraId="4F02206B">
            <w:pPr>
              <w:pStyle w:val="7"/>
              <w:spacing w:before="159" w:line="219" w:lineRule="auto"/>
              <w:ind w:left="160"/>
              <w:rPr>
                <w:sz w:val="18"/>
                <w:szCs w:val="18"/>
              </w:rPr>
            </w:pPr>
            <w:r>
              <w:rPr>
                <w:b/>
                <w:bCs/>
                <w:spacing w:val="-4"/>
                <w:sz w:val="18"/>
                <w:szCs w:val="18"/>
              </w:rPr>
              <w:t>立项级次</w:t>
            </w:r>
          </w:p>
        </w:tc>
      </w:tr>
      <w:tr w14:paraId="23F98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6" w:hRule="atLeast"/>
        </w:trPr>
        <w:tc>
          <w:tcPr>
            <w:tcW w:w="795" w:type="dxa"/>
            <w:vAlign w:val="top"/>
          </w:tcPr>
          <w:p w14:paraId="7CB4AB6C">
            <w:pPr>
              <w:spacing w:line="240" w:lineRule="auto"/>
              <w:rPr>
                <w:rFonts w:hint="eastAsia" w:ascii="宋体" w:hAnsi="宋体" w:eastAsia="宋体" w:cs="宋体"/>
                <w:sz w:val="18"/>
                <w:szCs w:val="18"/>
              </w:rPr>
            </w:pPr>
          </w:p>
          <w:p w14:paraId="57F4CABC">
            <w:pPr>
              <w:spacing w:line="240" w:lineRule="auto"/>
              <w:rPr>
                <w:rFonts w:hint="eastAsia" w:ascii="宋体" w:hAnsi="宋体" w:eastAsia="宋体" w:cs="宋体"/>
                <w:sz w:val="18"/>
                <w:szCs w:val="18"/>
              </w:rPr>
            </w:pPr>
          </w:p>
          <w:p w14:paraId="7BBDB215">
            <w:pPr>
              <w:spacing w:line="240" w:lineRule="auto"/>
              <w:rPr>
                <w:rFonts w:hint="eastAsia" w:ascii="宋体" w:hAnsi="宋体" w:eastAsia="宋体" w:cs="宋体"/>
                <w:sz w:val="18"/>
                <w:szCs w:val="18"/>
              </w:rPr>
            </w:pPr>
          </w:p>
          <w:p w14:paraId="55593CA0">
            <w:pPr>
              <w:spacing w:line="240" w:lineRule="auto"/>
              <w:rPr>
                <w:rFonts w:hint="eastAsia" w:ascii="宋体" w:hAnsi="宋体" w:eastAsia="宋体" w:cs="宋体"/>
                <w:sz w:val="18"/>
                <w:szCs w:val="18"/>
              </w:rPr>
            </w:pPr>
          </w:p>
          <w:p w14:paraId="06549CF4">
            <w:pPr>
              <w:pStyle w:val="7"/>
              <w:spacing w:before="58" w:line="240" w:lineRule="auto"/>
              <w:ind w:left="304"/>
              <w:rPr>
                <w:rFonts w:hint="eastAsia" w:ascii="宋体" w:hAnsi="宋体" w:eastAsia="宋体" w:cs="宋体"/>
                <w:sz w:val="18"/>
                <w:szCs w:val="18"/>
              </w:rPr>
            </w:pPr>
            <w:r>
              <w:rPr>
                <w:rFonts w:hint="eastAsia" w:ascii="宋体" w:hAnsi="宋体" w:eastAsia="宋体" w:cs="宋体"/>
                <w:sz w:val="18"/>
                <w:szCs w:val="18"/>
              </w:rPr>
              <w:t>1</w:t>
            </w:r>
          </w:p>
        </w:tc>
        <w:tc>
          <w:tcPr>
            <w:tcW w:w="2599" w:type="dxa"/>
            <w:vAlign w:val="top"/>
          </w:tcPr>
          <w:p w14:paraId="5618D038">
            <w:pPr>
              <w:spacing w:line="240" w:lineRule="auto"/>
              <w:rPr>
                <w:rFonts w:hint="eastAsia" w:ascii="宋体" w:hAnsi="宋体" w:eastAsia="宋体" w:cs="宋体"/>
                <w:sz w:val="18"/>
                <w:szCs w:val="18"/>
              </w:rPr>
            </w:pPr>
          </w:p>
          <w:p w14:paraId="65CFF8AA">
            <w:pPr>
              <w:spacing w:line="240" w:lineRule="auto"/>
              <w:rPr>
                <w:rFonts w:hint="eastAsia" w:ascii="宋体" w:hAnsi="宋体" w:eastAsia="宋体" w:cs="宋体"/>
                <w:sz w:val="18"/>
                <w:szCs w:val="18"/>
              </w:rPr>
            </w:pPr>
          </w:p>
          <w:p w14:paraId="28F8F31F">
            <w:pPr>
              <w:spacing w:line="240" w:lineRule="auto"/>
              <w:rPr>
                <w:rFonts w:hint="eastAsia" w:ascii="宋体" w:hAnsi="宋体" w:eastAsia="宋体" w:cs="宋体"/>
                <w:sz w:val="18"/>
                <w:szCs w:val="18"/>
              </w:rPr>
            </w:pPr>
          </w:p>
          <w:p w14:paraId="5CE395FE">
            <w:pPr>
              <w:numPr>
                <w:ilvl w:val="0"/>
                <w:numId w:val="0"/>
              </w:numPr>
              <w:spacing w:line="240" w:lineRule="auto"/>
              <w:ind w:firstLine="534" w:firstLineChars="300"/>
              <w:rPr>
                <w:rFonts w:hint="eastAsia" w:ascii="宋体" w:hAnsi="宋体" w:eastAsia="宋体" w:cs="宋体"/>
                <w:sz w:val="18"/>
                <w:szCs w:val="18"/>
                <w:lang w:val="en-US"/>
              </w:rPr>
            </w:pPr>
            <w:r>
              <w:rPr>
                <w:rFonts w:hint="eastAsia" w:ascii="宋体" w:hAnsi="宋体" w:eastAsia="宋体" w:cs="宋体"/>
                <w:spacing w:val="-1"/>
                <w:position w:val="4"/>
                <w:sz w:val="18"/>
                <w:szCs w:val="18"/>
                <w:lang w:val="en-US" w:eastAsia="zh-CN"/>
              </w:rPr>
              <w:t>城市基础设施配套费</w:t>
            </w:r>
          </w:p>
          <w:p w14:paraId="41D4E4A9">
            <w:pPr>
              <w:pStyle w:val="7"/>
              <w:spacing w:before="58" w:line="240" w:lineRule="auto"/>
              <w:ind w:left="360"/>
              <w:rPr>
                <w:rFonts w:hint="eastAsia" w:ascii="宋体" w:hAnsi="宋体" w:eastAsia="宋体" w:cs="宋体"/>
                <w:sz w:val="18"/>
                <w:szCs w:val="18"/>
              </w:rPr>
            </w:pPr>
          </w:p>
        </w:tc>
        <w:tc>
          <w:tcPr>
            <w:tcW w:w="4841" w:type="dxa"/>
            <w:vAlign w:val="top"/>
          </w:tcPr>
          <w:p w14:paraId="6601A02D">
            <w:pPr>
              <w:spacing w:line="240" w:lineRule="auto"/>
              <w:rPr>
                <w:rFonts w:hint="eastAsia" w:ascii="宋体" w:hAnsi="宋体" w:eastAsia="宋体" w:cs="宋体"/>
                <w:sz w:val="18"/>
                <w:szCs w:val="18"/>
              </w:rPr>
            </w:pPr>
          </w:p>
          <w:p w14:paraId="3DF23160">
            <w:pPr>
              <w:spacing w:line="240" w:lineRule="auto"/>
              <w:rPr>
                <w:rFonts w:hint="eastAsia" w:ascii="宋体" w:hAnsi="宋体" w:eastAsia="宋体" w:cs="宋体"/>
                <w:sz w:val="18"/>
                <w:szCs w:val="18"/>
              </w:rPr>
            </w:pPr>
          </w:p>
          <w:p w14:paraId="7892EBA2">
            <w:pPr>
              <w:spacing w:line="240" w:lineRule="auto"/>
              <w:rPr>
                <w:rFonts w:hint="eastAsia" w:ascii="宋体" w:hAnsi="宋体" w:eastAsia="宋体" w:cs="宋体"/>
                <w:sz w:val="18"/>
                <w:szCs w:val="18"/>
              </w:rPr>
            </w:pPr>
          </w:p>
          <w:p w14:paraId="44B2DAF0">
            <w:pPr>
              <w:pStyle w:val="7"/>
              <w:spacing w:before="59" w:line="240" w:lineRule="auto"/>
              <w:ind w:left="111" w:right="34"/>
              <w:jc w:val="both"/>
              <w:rPr>
                <w:rFonts w:hint="eastAsia" w:ascii="宋体" w:hAnsi="宋体" w:eastAsia="宋体" w:cs="宋体"/>
                <w:sz w:val="18"/>
                <w:szCs w:val="18"/>
              </w:rPr>
            </w:pPr>
            <w:r>
              <w:rPr>
                <w:rFonts w:hint="eastAsia" w:ascii="宋体" w:hAnsi="宋体" w:eastAsia="宋体" w:cs="宋体"/>
                <w:sz w:val="18"/>
                <w:szCs w:val="18"/>
              </w:rPr>
              <w:t>住宅：按实际建筑面积</w:t>
            </w:r>
            <w:r>
              <w:rPr>
                <w:rFonts w:hint="eastAsia" w:ascii="宋体" w:hAnsi="宋体" w:eastAsia="宋体" w:cs="宋体"/>
                <w:sz w:val="18"/>
                <w:szCs w:val="18"/>
                <w:lang w:val="en-US" w:eastAsia="zh-CN"/>
              </w:rPr>
              <w:t>130</w:t>
            </w:r>
            <w:r>
              <w:rPr>
                <w:rFonts w:hint="eastAsia" w:ascii="宋体" w:hAnsi="宋体" w:eastAsia="宋体" w:cs="宋体"/>
                <w:sz w:val="18"/>
                <w:szCs w:val="18"/>
              </w:rPr>
              <w:t>元/平方米；公建：</w:t>
            </w:r>
            <w:r>
              <w:rPr>
                <w:rFonts w:hint="eastAsia" w:ascii="宋体" w:hAnsi="宋体" w:eastAsia="宋体" w:cs="宋体"/>
                <w:spacing w:val="-1"/>
                <w:sz w:val="18"/>
                <w:szCs w:val="18"/>
              </w:rPr>
              <w:t>按实际建筑面积</w:t>
            </w:r>
            <w:r>
              <w:rPr>
                <w:rFonts w:hint="eastAsia" w:ascii="宋体" w:hAnsi="宋体" w:eastAsia="宋体" w:cs="宋体"/>
                <w:spacing w:val="-1"/>
                <w:sz w:val="18"/>
                <w:szCs w:val="18"/>
                <w:lang w:val="en-US" w:eastAsia="zh-CN"/>
              </w:rPr>
              <w:t>120</w:t>
            </w:r>
            <w:r>
              <w:rPr>
                <w:rFonts w:hint="eastAsia" w:ascii="宋体" w:hAnsi="宋体" w:eastAsia="宋体" w:cs="宋体"/>
                <w:spacing w:val="-1"/>
                <w:sz w:val="18"/>
                <w:szCs w:val="18"/>
              </w:rPr>
              <w:t>元/平方米；工业：按实际建筑面积60元/平方米。</w:t>
            </w:r>
          </w:p>
        </w:tc>
        <w:tc>
          <w:tcPr>
            <w:tcW w:w="5190" w:type="dxa"/>
            <w:vAlign w:val="top"/>
          </w:tcPr>
          <w:p w14:paraId="7F8A5C9B">
            <w:pPr>
              <w:pStyle w:val="7"/>
              <w:spacing w:before="159" w:line="240" w:lineRule="auto"/>
              <w:ind w:left="164" w:right="129" w:hanging="40"/>
              <w:rPr>
                <w:rFonts w:hint="eastAsia" w:ascii="宋体" w:hAnsi="宋体" w:eastAsia="宋体" w:cs="宋体"/>
                <w:sz w:val="18"/>
                <w:szCs w:val="18"/>
              </w:rPr>
            </w:pPr>
            <w:r>
              <w:rPr>
                <w:rFonts w:hint="eastAsia" w:ascii="宋体" w:hAnsi="宋体" w:eastAsia="宋体" w:cs="宋体"/>
                <w:sz w:val="18"/>
                <w:szCs w:val="18"/>
              </w:rPr>
              <w:t>财综函〔2002〕3号，辽财综函〔200</w:t>
            </w:r>
            <w:r>
              <w:rPr>
                <w:rFonts w:hint="eastAsia" w:ascii="宋体" w:hAnsi="宋体" w:eastAsia="宋体" w:cs="宋体"/>
                <w:spacing w:val="-1"/>
                <w:sz w:val="18"/>
                <w:szCs w:val="18"/>
              </w:rPr>
              <w:t>3〕133号，辽财非〔2010〕950号，沈建委发〔1999〕93号。按财综</w:t>
            </w:r>
            <w:r>
              <w:rPr>
                <w:rFonts w:hint="eastAsia" w:ascii="宋体" w:hAnsi="宋体" w:eastAsia="宋体" w:cs="宋体"/>
                <w:spacing w:val="-2"/>
                <w:sz w:val="18"/>
                <w:szCs w:val="18"/>
              </w:rPr>
              <w:t>〔2010〕54号，对中小学校“校舍安全工程”免征。按</w:t>
            </w:r>
            <w:r>
              <w:rPr>
                <w:rFonts w:hint="eastAsia" w:ascii="宋体" w:hAnsi="宋体" w:eastAsia="宋体" w:cs="宋体"/>
                <w:sz w:val="18"/>
                <w:szCs w:val="18"/>
              </w:rPr>
              <w:t>发改投资〔2014〕2091号，对医疗、养老、体育健身</w:t>
            </w:r>
            <w:r>
              <w:rPr>
                <w:rFonts w:hint="eastAsia" w:ascii="宋体" w:hAnsi="宋体" w:eastAsia="宋体" w:cs="宋体"/>
                <w:spacing w:val="-1"/>
                <w:sz w:val="18"/>
                <w:szCs w:val="18"/>
              </w:rPr>
              <w:t>设施建设免征。按公告〔2019〕76号，对用于提供社</w:t>
            </w:r>
            <w:r>
              <w:rPr>
                <w:rFonts w:hint="eastAsia" w:ascii="宋体" w:hAnsi="宋体" w:eastAsia="宋体" w:cs="宋体"/>
                <w:sz w:val="18"/>
                <w:szCs w:val="18"/>
              </w:rPr>
              <w:t>区养老、托育、家政服务的建设项目免征。按财税</w:t>
            </w:r>
            <w:r>
              <w:rPr>
                <w:rFonts w:hint="eastAsia" w:ascii="宋体" w:hAnsi="宋体" w:eastAsia="宋体" w:cs="宋体"/>
                <w:spacing w:val="-2"/>
                <w:sz w:val="18"/>
                <w:szCs w:val="18"/>
              </w:rPr>
              <w:t>〔2019〕53号，对易地扶贫搬迁项目免征。按财政部税</w:t>
            </w:r>
            <w:r>
              <w:rPr>
                <w:rFonts w:hint="eastAsia" w:ascii="宋体" w:hAnsi="宋体" w:eastAsia="宋体" w:cs="宋体"/>
                <w:spacing w:val="-1"/>
                <w:sz w:val="18"/>
                <w:szCs w:val="18"/>
              </w:rPr>
              <w:t>务总局住房城乡建设部公告2023年第70号，对保障性住房项目免收。</w:t>
            </w:r>
          </w:p>
        </w:tc>
        <w:tc>
          <w:tcPr>
            <w:tcW w:w="1035" w:type="dxa"/>
            <w:vAlign w:val="top"/>
          </w:tcPr>
          <w:p w14:paraId="2BE7E5FE">
            <w:pPr>
              <w:spacing w:line="240" w:lineRule="auto"/>
              <w:rPr>
                <w:rFonts w:hint="eastAsia" w:ascii="宋体" w:hAnsi="宋体" w:eastAsia="宋体" w:cs="宋体"/>
                <w:sz w:val="18"/>
                <w:szCs w:val="18"/>
              </w:rPr>
            </w:pPr>
          </w:p>
          <w:p w14:paraId="31E459BC">
            <w:pPr>
              <w:spacing w:line="240" w:lineRule="auto"/>
              <w:rPr>
                <w:rFonts w:hint="eastAsia" w:ascii="宋体" w:hAnsi="宋体" w:eastAsia="宋体" w:cs="宋体"/>
                <w:sz w:val="18"/>
                <w:szCs w:val="18"/>
              </w:rPr>
            </w:pPr>
          </w:p>
          <w:p w14:paraId="65996036">
            <w:pPr>
              <w:spacing w:line="240" w:lineRule="auto"/>
              <w:rPr>
                <w:rFonts w:hint="eastAsia" w:ascii="宋体" w:hAnsi="宋体" w:eastAsia="宋体" w:cs="宋体"/>
                <w:sz w:val="18"/>
                <w:szCs w:val="18"/>
              </w:rPr>
            </w:pPr>
          </w:p>
          <w:p w14:paraId="58C84281">
            <w:pPr>
              <w:pStyle w:val="7"/>
              <w:spacing w:before="59" w:line="240" w:lineRule="auto"/>
              <w:ind w:left="337"/>
              <w:rPr>
                <w:rFonts w:hint="eastAsia" w:ascii="宋体" w:hAnsi="宋体" w:eastAsia="宋体" w:cs="宋体"/>
                <w:sz w:val="18"/>
                <w:szCs w:val="18"/>
              </w:rPr>
            </w:pPr>
            <w:r>
              <w:rPr>
                <w:rFonts w:hint="eastAsia" w:ascii="宋体" w:hAnsi="宋体" w:eastAsia="宋体" w:cs="宋体"/>
                <w:spacing w:val="3"/>
                <w:sz w:val="18"/>
                <w:szCs w:val="18"/>
              </w:rPr>
              <w:t>中央</w:t>
            </w:r>
          </w:p>
        </w:tc>
      </w:tr>
      <w:tr w14:paraId="1E0D0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4" w:hRule="atLeast"/>
        </w:trPr>
        <w:tc>
          <w:tcPr>
            <w:tcW w:w="795" w:type="dxa"/>
            <w:vAlign w:val="top"/>
          </w:tcPr>
          <w:p w14:paraId="6B05037B">
            <w:pPr>
              <w:spacing w:line="240" w:lineRule="auto"/>
              <w:rPr>
                <w:rFonts w:hint="eastAsia" w:ascii="宋体" w:hAnsi="宋体" w:eastAsia="宋体" w:cs="宋体"/>
                <w:sz w:val="18"/>
                <w:szCs w:val="18"/>
              </w:rPr>
            </w:pPr>
          </w:p>
          <w:p w14:paraId="4127A050">
            <w:pPr>
              <w:spacing w:line="240" w:lineRule="auto"/>
              <w:rPr>
                <w:rFonts w:hint="eastAsia" w:ascii="宋体" w:hAnsi="宋体" w:eastAsia="宋体" w:cs="宋体"/>
                <w:sz w:val="18"/>
                <w:szCs w:val="18"/>
              </w:rPr>
            </w:pPr>
          </w:p>
          <w:p w14:paraId="7A2A0A71">
            <w:pPr>
              <w:spacing w:line="240" w:lineRule="auto"/>
              <w:rPr>
                <w:rFonts w:hint="eastAsia" w:ascii="宋体" w:hAnsi="宋体" w:eastAsia="宋体" w:cs="宋体"/>
                <w:sz w:val="18"/>
                <w:szCs w:val="18"/>
              </w:rPr>
            </w:pPr>
          </w:p>
          <w:p w14:paraId="5E67E654">
            <w:pPr>
              <w:pStyle w:val="7"/>
              <w:spacing w:before="59" w:line="240" w:lineRule="auto"/>
              <w:ind w:firstLine="360" w:firstLineChars="200"/>
              <w:rPr>
                <w:rFonts w:hint="eastAsia" w:ascii="宋体" w:hAnsi="宋体" w:eastAsia="宋体" w:cs="宋体"/>
                <w:sz w:val="18"/>
                <w:szCs w:val="18"/>
              </w:rPr>
            </w:pPr>
            <w:r>
              <w:rPr>
                <w:rFonts w:hint="eastAsia" w:ascii="宋体" w:hAnsi="宋体" w:eastAsia="宋体" w:cs="宋体"/>
                <w:sz w:val="18"/>
                <w:szCs w:val="18"/>
              </w:rPr>
              <w:t>2</w:t>
            </w:r>
          </w:p>
        </w:tc>
        <w:tc>
          <w:tcPr>
            <w:tcW w:w="2599" w:type="dxa"/>
            <w:vAlign w:val="top"/>
          </w:tcPr>
          <w:p w14:paraId="6BA2970B">
            <w:pPr>
              <w:spacing w:line="240" w:lineRule="auto"/>
              <w:rPr>
                <w:rFonts w:hint="eastAsia" w:ascii="宋体" w:hAnsi="宋体" w:eastAsia="宋体" w:cs="宋体"/>
                <w:sz w:val="18"/>
                <w:szCs w:val="18"/>
              </w:rPr>
            </w:pPr>
          </w:p>
          <w:p w14:paraId="01D9CFE4">
            <w:pPr>
              <w:spacing w:line="240" w:lineRule="auto"/>
              <w:rPr>
                <w:rFonts w:hint="eastAsia" w:ascii="宋体" w:hAnsi="宋体" w:eastAsia="宋体" w:cs="宋体"/>
                <w:sz w:val="18"/>
                <w:szCs w:val="18"/>
              </w:rPr>
            </w:pPr>
          </w:p>
          <w:p w14:paraId="14553AB3">
            <w:pPr>
              <w:spacing w:line="240" w:lineRule="auto"/>
              <w:rPr>
                <w:rFonts w:hint="eastAsia" w:ascii="宋体" w:hAnsi="宋体" w:eastAsia="宋体" w:cs="宋体"/>
                <w:sz w:val="18"/>
                <w:szCs w:val="18"/>
              </w:rPr>
            </w:pPr>
          </w:p>
          <w:p w14:paraId="7EC97789">
            <w:pPr>
              <w:pStyle w:val="7"/>
              <w:spacing w:before="59" w:line="240" w:lineRule="auto"/>
              <w:ind w:firstLine="534" w:firstLineChars="300"/>
              <w:rPr>
                <w:rFonts w:hint="eastAsia" w:ascii="宋体" w:hAnsi="宋体" w:eastAsia="宋体" w:cs="宋体"/>
                <w:sz w:val="18"/>
                <w:szCs w:val="18"/>
              </w:rPr>
            </w:pPr>
            <w:r>
              <w:rPr>
                <w:rFonts w:hint="eastAsia" w:ascii="宋体" w:hAnsi="宋体" w:eastAsia="宋体" w:cs="宋体"/>
                <w:spacing w:val="-1"/>
                <w:sz w:val="18"/>
                <w:szCs w:val="18"/>
              </w:rPr>
              <w:t>森林植被恢复费</w:t>
            </w:r>
          </w:p>
        </w:tc>
        <w:tc>
          <w:tcPr>
            <w:tcW w:w="4841" w:type="dxa"/>
            <w:vAlign w:val="top"/>
          </w:tcPr>
          <w:p w14:paraId="427B1CDD">
            <w:pPr>
              <w:pStyle w:val="7"/>
              <w:spacing w:before="58" w:line="240" w:lineRule="auto"/>
              <w:rPr>
                <w:rFonts w:hint="eastAsia" w:ascii="宋体" w:hAnsi="宋体" w:eastAsia="宋体" w:cs="宋体"/>
                <w:sz w:val="18"/>
                <w:szCs w:val="18"/>
              </w:rPr>
            </w:pPr>
          </w:p>
          <w:p w14:paraId="7C35C542">
            <w:pPr>
              <w:pStyle w:val="7"/>
              <w:spacing w:before="58" w:line="240" w:lineRule="auto"/>
              <w:rPr>
                <w:rFonts w:hint="eastAsia" w:ascii="宋体" w:hAnsi="宋体" w:eastAsia="宋体" w:cs="宋体"/>
                <w:sz w:val="18"/>
                <w:szCs w:val="18"/>
              </w:rPr>
            </w:pPr>
            <w:r>
              <w:rPr>
                <w:rFonts w:hint="eastAsia" w:ascii="宋体" w:hAnsi="宋体" w:eastAsia="宋体" w:cs="宋体"/>
                <w:sz w:val="18"/>
                <w:szCs w:val="18"/>
              </w:rPr>
              <w:t>(一)郁闭度0.2以上的乔木林地(含采伐迹</w:t>
            </w:r>
            <w:r>
              <w:rPr>
                <w:rFonts w:hint="eastAsia" w:ascii="宋体" w:hAnsi="宋体" w:eastAsia="宋体" w:cs="宋体"/>
                <w:spacing w:val="-2"/>
                <w:sz w:val="18"/>
                <w:szCs w:val="18"/>
              </w:rPr>
              <w:t>地、火烧迹地、经济林地)、苗圃地，10元/</w:t>
            </w:r>
            <w:r>
              <w:rPr>
                <w:rFonts w:hint="eastAsia" w:ascii="宋体" w:hAnsi="宋体" w:eastAsia="宋体" w:cs="宋体"/>
                <w:spacing w:val="-1"/>
                <w:sz w:val="18"/>
                <w:szCs w:val="18"/>
              </w:rPr>
              <w:t>平方米；灌木林地、疏林地、未成林造林地，</w:t>
            </w:r>
            <w:r>
              <w:rPr>
                <w:rFonts w:hint="eastAsia" w:ascii="宋体" w:hAnsi="宋体" w:eastAsia="宋体" w:cs="宋体"/>
                <w:spacing w:val="3"/>
                <w:sz w:val="18"/>
                <w:szCs w:val="18"/>
              </w:rPr>
              <w:t>6元/平方米；宜林地，3元/平方米；(二)国</w:t>
            </w:r>
            <w:r>
              <w:rPr>
                <w:rFonts w:hint="eastAsia" w:ascii="宋体" w:hAnsi="宋体" w:eastAsia="宋体" w:cs="宋体"/>
                <w:sz w:val="18"/>
                <w:szCs w:val="18"/>
              </w:rPr>
              <w:t>家和省级公益林林地，按照第(一)款规定征收标准2倍征收；(三)城市规划区的林地，</w:t>
            </w:r>
            <w:r>
              <w:rPr>
                <w:rFonts w:hint="eastAsia" w:ascii="宋体" w:hAnsi="宋体" w:eastAsia="宋体" w:cs="宋体"/>
                <w:spacing w:val="4"/>
                <w:sz w:val="18"/>
                <w:szCs w:val="18"/>
              </w:rPr>
              <w:t>按照第(一)、(二)款规定征收标准2倍征收；</w:t>
            </w:r>
            <w:r>
              <w:rPr>
                <w:rFonts w:hint="eastAsia" w:ascii="宋体" w:hAnsi="宋体" w:eastAsia="宋体" w:cs="宋体"/>
                <w:spacing w:val="2"/>
                <w:sz w:val="18"/>
                <w:szCs w:val="18"/>
              </w:rPr>
              <w:t>(四)城市规划区外的林地，按占用征收林地</w:t>
            </w:r>
            <w:r>
              <w:rPr>
                <w:rFonts w:hint="eastAsia" w:ascii="宋体" w:hAnsi="宋体" w:eastAsia="宋体" w:cs="宋体"/>
                <w:spacing w:val="-1"/>
                <w:sz w:val="18"/>
                <w:szCs w:val="18"/>
              </w:rPr>
              <w:t>建设项目性质实行不同征收标准。</w:t>
            </w:r>
          </w:p>
        </w:tc>
        <w:tc>
          <w:tcPr>
            <w:tcW w:w="5190" w:type="dxa"/>
            <w:vAlign w:val="top"/>
          </w:tcPr>
          <w:p w14:paraId="2B9A4AB0">
            <w:pPr>
              <w:spacing w:line="240" w:lineRule="auto"/>
              <w:rPr>
                <w:rFonts w:hint="eastAsia" w:ascii="宋体" w:hAnsi="宋体" w:eastAsia="宋体" w:cs="宋体"/>
                <w:sz w:val="18"/>
                <w:szCs w:val="18"/>
              </w:rPr>
            </w:pPr>
          </w:p>
          <w:p w14:paraId="5259715B">
            <w:pPr>
              <w:pStyle w:val="7"/>
              <w:spacing w:before="59" w:line="240" w:lineRule="auto"/>
              <w:ind w:right="133"/>
              <w:jc w:val="both"/>
              <w:rPr>
                <w:rFonts w:hint="eastAsia" w:ascii="宋体" w:hAnsi="宋体" w:eastAsia="宋体" w:cs="宋体"/>
                <w:sz w:val="18"/>
                <w:szCs w:val="18"/>
              </w:rPr>
            </w:pPr>
            <w:r>
              <w:rPr>
                <w:rFonts w:hint="eastAsia" w:ascii="宋体" w:hAnsi="宋体" w:eastAsia="宋体" w:cs="宋体"/>
                <w:spacing w:val="-1"/>
                <w:sz w:val="18"/>
                <w:szCs w:val="18"/>
              </w:rPr>
              <w:t>《森林法》,财综〔2002〕73号，财税〔2015〕122</w:t>
            </w:r>
            <w:r>
              <w:rPr>
                <w:rFonts w:hint="eastAsia" w:ascii="宋体" w:hAnsi="宋体" w:eastAsia="宋体" w:cs="宋体"/>
                <w:spacing w:val="-2"/>
                <w:sz w:val="18"/>
                <w:szCs w:val="18"/>
              </w:rPr>
              <w:t>号</w:t>
            </w:r>
            <w:r>
              <w:rPr>
                <w:rFonts w:hint="eastAsia" w:ascii="宋体" w:hAnsi="宋体" w:eastAsia="宋体" w:cs="宋体"/>
                <w:spacing w:val="-1"/>
                <w:sz w:val="18"/>
                <w:szCs w:val="18"/>
              </w:rPr>
              <w:t>辽财综〔2003〕152号，辽财非〔2006〕913号，辽财</w:t>
            </w:r>
            <w:r>
              <w:rPr>
                <w:rFonts w:hint="eastAsia" w:ascii="宋体" w:hAnsi="宋体" w:eastAsia="宋体" w:cs="宋体"/>
                <w:spacing w:val="1"/>
                <w:sz w:val="18"/>
                <w:szCs w:val="18"/>
              </w:rPr>
              <w:t>非〔2016〕191号。按财综〔2010〕54号，对中小学</w:t>
            </w:r>
            <w:r>
              <w:rPr>
                <w:rFonts w:hint="eastAsia" w:ascii="宋体" w:hAnsi="宋体" w:eastAsia="宋体" w:cs="宋体"/>
                <w:spacing w:val="-7"/>
                <w:sz w:val="18"/>
                <w:szCs w:val="18"/>
              </w:rPr>
              <w:t>校“校舍安全工程”免征。按辽财税〔2022〕269号，2</w:t>
            </w:r>
            <w:r>
              <w:rPr>
                <w:rFonts w:hint="eastAsia" w:ascii="宋体" w:hAnsi="宋体" w:eastAsia="宋体" w:cs="宋体"/>
                <w:spacing w:val="-8"/>
                <w:sz w:val="18"/>
                <w:szCs w:val="18"/>
              </w:rPr>
              <w:t>023</w:t>
            </w:r>
            <w:r>
              <w:rPr>
                <w:rFonts w:hint="eastAsia" w:ascii="宋体" w:hAnsi="宋体" w:eastAsia="宋体" w:cs="宋体"/>
                <w:spacing w:val="-1"/>
                <w:sz w:val="18"/>
                <w:szCs w:val="18"/>
              </w:rPr>
              <w:t>年1月1日起，划转至税务部门征收。</w:t>
            </w:r>
          </w:p>
        </w:tc>
        <w:tc>
          <w:tcPr>
            <w:tcW w:w="1035" w:type="dxa"/>
            <w:vAlign w:val="top"/>
          </w:tcPr>
          <w:p w14:paraId="0C64676E">
            <w:pPr>
              <w:spacing w:line="240" w:lineRule="auto"/>
              <w:rPr>
                <w:rFonts w:hint="eastAsia" w:ascii="宋体" w:hAnsi="宋体" w:eastAsia="宋体" w:cs="宋体"/>
                <w:sz w:val="18"/>
                <w:szCs w:val="18"/>
              </w:rPr>
            </w:pPr>
          </w:p>
          <w:p w14:paraId="1BEDA19A">
            <w:pPr>
              <w:spacing w:line="240" w:lineRule="auto"/>
              <w:rPr>
                <w:rFonts w:hint="eastAsia" w:ascii="宋体" w:hAnsi="宋体" w:eastAsia="宋体" w:cs="宋体"/>
                <w:sz w:val="18"/>
                <w:szCs w:val="18"/>
              </w:rPr>
            </w:pPr>
          </w:p>
          <w:p w14:paraId="6B26DFC7">
            <w:pPr>
              <w:spacing w:line="240" w:lineRule="auto"/>
              <w:rPr>
                <w:rFonts w:hint="eastAsia" w:ascii="宋体" w:hAnsi="宋体" w:eastAsia="宋体" w:cs="宋体"/>
                <w:sz w:val="18"/>
                <w:szCs w:val="18"/>
              </w:rPr>
            </w:pPr>
          </w:p>
          <w:p w14:paraId="6A026E2C">
            <w:pPr>
              <w:pStyle w:val="7"/>
              <w:spacing w:before="58" w:line="240" w:lineRule="auto"/>
              <w:ind w:firstLine="372" w:firstLineChars="200"/>
              <w:rPr>
                <w:rFonts w:hint="eastAsia" w:ascii="宋体" w:hAnsi="宋体" w:eastAsia="宋体" w:cs="宋体"/>
                <w:sz w:val="18"/>
                <w:szCs w:val="18"/>
              </w:rPr>
            </w:pPr>
            <w:r>
              <w:rPr>
                <w:rFonts w:hint="eastAsia" w:ascii="宋体" w:hAnsi="宋体" w:eastAsia="宋体" w:cs="宋体"/>
                <w:spacing w:val="3"/>
                <w:sz w:val="18"/>
                <w:szCs w:val="18"/>
              </w:rPr>
              <w:t>中央</w:t>
            </w:r>
          </w:p>
        </w:tc>
      </w:tr>
      <w:tr w14:paraId="393B5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3" w:hRule="atLeast"/>
        </w:trPr>
        <w:tc>
          <w:tcPr>
            <w:tcW w:w="795" w:type="dxa"/>
            <w:vAlign w:val="top"/>
          </w:tcPr>
          <w:p w14:paraId="5B537462">
            <w:pPr>
              <w:spacing w:line="240" w:lineRule="auto"/>
              <w:rPr>
                <w:rFonts w:hint="eastAsia" w:ascii="宋体" w:hAnsi="宋体" w:eastAsia="宋体" w:cs="宋体"/>
                <w:sz w:val="18"/>
                <w:szCs w:val="18"/>
              </w:rPr>
            </w:pPr>
          </w:p>
          <w:p w14:paraId="6383C2BF">
            <w:pPr>
              <w:spacing w:line="240" w:lineRule="auto"/>
              <w:rPr>
                <w:rFonts w:hint="eastAsia" w:ascii="宋体" w:hAnsi="宋体" w:eastAsia="宋体" w:cs="宋体"/>
                <w:sz w:val="18"/>
                <w:szCs w:val="18"/>
              </w:rPr>
            </w:pPr>
          </w:p>
          <w:p w14:paraId="7408D0CE">
            <w:pPr>
              <w:spacing w:line="240" w:lineRule="auto"/>
              <w:rPr>
                <w:rFonts w:hint="eastAsia" w:ascii="宋体" w:hAnsi="宋体" w:eastAsia="宋体" w:cs="宋体"/>
                <w:sz w:val="18"/>
                <w:szCs w:val="18"/>
              </w:rPr>
            </w:pPr>
          </w:p>
          <w:p w14:paraId="6E066D5A">
            <w:pPr>
              <w:spacing w:line="240" w:lineRule="auto"/>
              <w:rPr>
                <w:rFonts w:hint="eastAsia" w:ascii="宋体" w:hAnsi="宋体" w:eastAsia="宋体" w:cs="宋体"/>
                <w:sz w:val="18"/>
                <w:szCs w:val="18"/>
              </w:rPr>
            </w:pPr>
          </w:p>
          <w:p w14:paraId="3BC5BB2F">
            <w:pPr>
              <w:spacing w:line="240" w:lineRule="auto"/>
              <w:rPr>
                <w:rFonts w:hint="eastAsia" w:ascii="宋体" w:hAnsi="宋体" w:eastAsia="宋体" w:cs="宋体"/>
                <w:sz w:val="18"/>
                <w:szCs w:val="18"/>
              </w:rPr>
            </w:pPr>
          </w:p>
          <w:p w14:paraId="1B869B65">
            <w:pPr>
              <w:pStyle w:val="7"/>
              <w:spacing w:before="62" w:line="240" w:lineRule="auto"/>
              <w:ind w:firstLine="360" w:firstLineChars="200"/>
              <w:rPr>
                <w:rFonts w:hint="eastAsia" w:ascii="宋体" w:hAnsi="宋体" w:eastAsia="宋体" w:cs="宋体"/>
                <w:kern w:val="2"/>
                <w:sz w:val="18"/>
                <w:szCs w:val="18"/>
                <w:lang w:val="en-US" w:eastAsia="en-US" w:bidi="ar-SA"/>
              </w:rPr>
            </w:pPr>
            <w:r>
              <w:rPr>
                <w:rFonts w:hint="eastAsia" w:ascii="宋体" w:hAnsi="宋体" w:eastAsia="宋体" w:cs="宋体"/>
                <w:sz w:val="18"/>
                <w:szCs w:val="18"/>
              </w:rPr>
              <w:t>3</w:t>
            </w:r>
          </w:p>
        </w:tc>
        <w:tc>
          <w:tcPr>
            <w:tcW w:w="2599" w:type="dxa"/>
            <w:vAlign w:val="top"/>
          </w:tcPr>
          <w:p w14:paraId="14EF5967">
            <w:pPr>
              <w:spacing w:line="240" w:lineRule="auto"/>
              <w:rPr>
                <w:rFonts w:hint="eastAsia" w:ascii="宋体" w:hAnsi="宋体" w:eastAsia="宋体" w:cs="宋体"/>
                <w:sz w:val="18"/>
                <w:szCs w:val="18"/>
              </w:rPr>
            </w:pPr>
          </w:p>
          <w:p w14:paraId="2E61BC10">
            <w:pPr>
              <w:spacing w:line="240" w:lineRule="auto"/>
              <w:rPr>
                <w:rFonts w:hint="eastAsia" w:ascii="宋体" w:hAnsi="宋体" w:eastAsia="宋体" w:cs="宋体"/>
                <w:sz w:val="18"/>
                <w:szCs w:val="18"/>
              </w:rPr>
            </w:pPr>
          </w:p>
          <w:p w14:paraId="1E254B5B">
            <w:pPr>
              <w:spacing w:line="240" w:lineRule="auto"/>
              <w:rPr>
                <w:rFonts w:hint="eastAsia" w:ascii="宋体" w:hAnsi="宋体" w:eastAsia="宋体" w:cs="宋体"/>
                <w:sz w:val="18"/>
                <w:szCs w:val="18"/>
              </w:rPr>
            </w:pPr>
          </w:p>
          <w:p w14:paraId="01551E8D">
            <w:pPr>
              <w:spacing w:line="240" w:lineRule="auto"/>
              <w:rPr>
                <w:rFonts w:hint="eastAsia" w:ascii="宋体" w:hAnsi="宋体" w:eastAsia="宋体" w:cs="宋体"/>
                <w:sz w:val="18"/>
                <w:szCs w:val="18"/>
              </w:rPr>
            </w:pPr>
          </w:p>
          <w:p w14:paraId="02A6D355">
            <w:pPr>
              <w:spacing w:line="240" w:lineRule="auto"/>
              <w:rPr>
                <w:rFonts w:hint="eastAsia" w:ascii="宋体" w:hAnsi="宋体" w:eastAsia="宋体" w:cs="宋体"/>
                <w:sz w:val="18"/>
                <w:szCs w:val="18"/>
              </w:rPr>
            </w:pPr>
          </w:p>
          <w:p w14:paraId="2D4065D6">
            <w:pPr>
              <w:pStyle w:val="7"/>
              <w:spacing w:before="61" w:line="240" w:lineRule="auto"/>
              <w:ind w:firstLine="368" w:firstLineChars="200"/>
              <w:rPr>
                <w:rFonts w:hint="eastAsia" w:ascii="宋体" w:hAnsi="宋体" w:eastAsia="宋体" w:cs="宋体"/>
                <w:kern w:val="2"/>
                <w:sz w:val="18"/>
                <w:szCs w:val="18"/>
                <w:lang w:val="en-US" w:eastAsia="en-US" w:bidi="ar-SA"/>
              </w:rPr>
            </w:pPr>
            <w:r>
              <w:rPr>
                <w:rFonts w:hint="eastAsia" w:ascii="宋体" w:hAnsi="宋体" w:eastAsia="宋体" w:cs="宋体"/>
                <w:spacing w:val="2"/>
                <w:sz w:val="18"/>
                <w:szCs w:val="18"/>
              </w:rPr>
              <w:t>教育费附加</w:t>
            </w:r>
          </w:p>
        </w:tc>
        <w:tc>
          <w:tcPr>
            <w:tcW w:w="4841" w:type="dxa"/>
            <w:vAlign w:val="top"/>
          </w:tcPr>
          <w:p w14:paraId="35A2E59B">
            <w:pPr>
              <w:spacing w:line="240" w:lineRule="auto"/>
              <w:rPr>
                <w:rFonts w:hint="eastAsia" w:ascii="宋体" w:hAnsi="宋体" w:eastAsia="宋体" w:cs="宋体"/>
                <w:sz w:val="18"/>
                <w:szCs w:val="18"/>
              </w:rPr>
            </w:pPr>
          </w:p>
          <w:p w14:paraId="49B9CF3A">
            <w:pPr>
              <w:spacing w:line="240" w:lineRule="auto"/>
              <w:rPr>
                <w:rFonts w:hint="eastAsia" w:ascii="宋体" w:hAnsi="宋体" w:eastAsia="宋体" w:cs="宋体"/>
                <w:sz w:val="18"/>
                <w:szCs w:val="18"/>
              </w:rPr>
            </w:pPr>
          </w:p>
          <w:p w14:paraId="1EF50617">
            <w:pPr>
              <w:spacing w:line="240" w:lineRule="auto"/>
              <w:rPr>
                <w:rFonts w:hint="eastAsia" w:ascii="宋体" w:hAnsi="宋体" w:eastAsia="宋体" w:cs="宋体"/>
                <w:sz w:val="18"/>
                <w:szCs w:val="18"/>
              </w:rPr>
            </w:pPr>
          </w:p>
          <w:p w14:paraId="3B0FB6C5">
            <w:pPr>
              <w:spacing w:line="240" w:lineRule="auto"/>
              <w:rPr>
                <w:rFonts w:hint="eastAsia" w:ascii="宋体" w:hAnsi="宋体" w:eastAsia="宋体" w:cs="宋体"/>
                <w:sz w:val="18"/>
                <w:szCs w:val="18"/>
              </w:rPr>
            </w:pPr>
          </w:p>
          <w:p w14:paraId="713E1E12">
            <w:pPr>
              <w:spacing w:line="240" w:lineRule="auto"/>
              <w:rPr>
                <w:rFonts w:hint="eastAsia" w:ascii="宋体" w:hAnsi="宋体" w:eastAsia="宋体" w:cs="宋体"/>
                <w:sz w:val="18"/>
                <w:szCs w:val="18"/>
              </w:rPr>
            </w:pPr>
          </w:p>
          <w:p w14:paraId="5C65B5E3">
            <w:pPr>
              <w:pStyle w:val="7"/>
              <w:spacing w:before="62" w:line="240" w:lineRule="auto"/>
              <w:ind w:firstLine="178" w:firstLineChars="100"/>
              <w:rPr>
                <w:rFonts w:hint="eastAsia" w:ascii="宋体" w:hAnsi="宋体" w:eastAsia="宋体" w:cs="宋体"/>
                <w:kern w:val="2"/>
                <w:sz w:val="18"/>
                <w:szCs w:val="18"/>
                <w:lang w:val="en-US" w:eastAsia="zh-CN" w:bidi="ar-SA"/>
              </w:rPr>
            </w:pPr>
            <w:r>
              <w:rPr>
                <w:rFonts w:hint="eastAsia" w:ascii="宋体" w:hAnsi="宋体" w:eastAsia="宋体" w:cs="宋体"/>
                <w:spacing w:val="-1"/>
                <w:sz w:val="18"/>
                <w:szCs w:val="18"/>
              </w:rPr>
              <w:t>实际缴纳的增值税、消费税税额的3%</w:t>
            </w:r>
            <w:r>
              <w:rPr>
                <w:rFonts w:hint="eastAsia" w:ascii="宋体" w:hAnsi="宋体" w:eastAsia="宋体" w:cs="宋体"/>
                <w:spacing w:val="-1"/>
                <w:sz w:val="18"/>
                <w:szCs w:val="18"/>
                <w:lang w:eastAsia="zh-CN"/>
              </w:rPr>
              <w:t>。</w:t>
            </w:r>
          </w:p>
        </w:tc>
        <w:tc>
          <w:tcPr>
            <w:tcW w:w="5190" w:type="dxa"/>
            <w:vAlign w:val="top"/>
          </w:tcPr>
          <w:p w14:paraId="45C812D9">
            <w:pPr>
              <w:pStyle w:val="7"/>
              <w:spacing w:before="30" w:line="240" w:lineRule="auto"/>
              <w:ind w:left="1"/>
              <w:rPr>
                <w:rFonts w:hint="eastAsia" w:ascii="宋体" w:hAnsi="宋体" w:eastAsia="宋体" w:cs="宋体"/>
                <w:spacing w:val="3"/>
                <w:sz w:val="18"/>
                <w:szCs w:val="18"/>
              </w:rPr>
            </w:pPr>
          </w:p>
          <w:p w14:paraId="22EF8371">
            <w:pPr>
              <w:pStyle w:val="7"/>
              <w:spacing w:before="30" w:line="240" w:lineRule="auto"/>
              <w:ind w:left="1" w:leftChars="0"/>
              <w:rPr>
                <w:rFonts w:hint="eastAsia" w:ascii="宋体" w:hAnsi="宋体" w:eastAsia="宋体" w:cs="宋体"/>
                <w:kern w:val="2"/>
                <w:sz w:val="18"/>
                <w:szCs w:val="18"/>
                <w:lang w:val="en-US" w:eastAsia="en-US" w:bidi="ar-SA"/>
              </w:rPr>
            </w:pPr>
            <w:r>
              <w:rPr>
                <w:rFonts w:hint="eastAsia" w:ascii="宋体" w:hAnsi="宋体" w:eastAsia="宋体" w:cs="宋体"/>
                <w:spacing w:val="3"/>
                <w:sz w:val="18"/>
                <w:szCs w:val="18"/>
              </w:rPr>
              <w:t>《教育法》,国务院令第60号，国发〔1986〕50号、</w:t>
            </w:r>
            <w:r>
              <w:rPr>
                <w:rFonts w:hint="eastAsia" w:ascii="宋体" w:hAnsi="宋体" w:eastAsia="宋体" w:cs="宋体"/>
                <w:spacing w:val="-4"/>
                <w:sz w:val="18"/>
                <w:szCs w:val="18"/>
              </w:rPr>
              <w:t>国务院令第448号，国发明电〔1994〕2号、23号，</w:t>
            </w:r>
            <w:r>
              <w:rPr>
                <w:rFonts w:hint="eastAsia" w:ascii="宋体" w:hAnsi="宋体" w:eastAsia="宋体" w:cs="宋体"/>
                <w:spacing w:val="-10"/>
                <w:sz w:val="18"/>
                <w:szCs w:val="18"/>
              </w:rPr>
              <w:t>财综函〔2003〕2号，财税〔2019〕21号，财税</w:t>
            </w:r>
            <w:r>
              <w:rPr>
                <w:rFonts w:hint="eastAsia" w:ascii="宋体" w:hAnsi="宋体" w:eastAsia="宋体" w:cs="宋体"/>
                <w:spacing w:val="-11"/>
                <w:sz w:val="18"/>
                <w:szCs w:val="18"/>
              </w:rPr>
              <w:t>〔2019〕</w:t>
            </w:r>
            <w:r>
              <w:rPr>
                <w:rFonts w:hint="eastAsia" w:ascii="宋体" w:hAnsi="宋体" w:eastAsia="宋体" w:cs="宋体"/>
                <w:spacing w:val="-3"/>
                <w:sz w:val="18"/>
                <w:szCs w:val="18"/>
              </w:rPr>
              <w:t>22号，财税〔2019〕46号，辽教委字〔1993〕23号，辽地税行〔1998〕275号。按财综〔2010〕54号，对</w:t>
            </w:r>
            <w:r>
              <w:rPr>
                <w:rFonts w:hint="eastAsia" w:ascii="宋体" w:hAnsi="宋体" w:eastAsia="宋体" w:cs="宋体"/>
                <w:spacing w:val="-13"/>
                <w:sz w:val="18"/>
                <w:szCs w:val="18"/>
              </w:rPr>
              <w:t>中小学校“校舍安全工程”免征。财政部税务总局公告</w:t>
            </w:r>
            <w:r>
              <w:rPr>
                <w:rFonts w:hint="eastAsia" w:ascii="宋体" w:hAnsi="宋体" w:eastAsia="宋体" w:cs="宋体"/>
                <w:sz w:val="18"/>
                <w:szCs w:val="18"/>
              </w:rPr>
              <w:t>2023年第12号，自2023年1月1日至2027年12月</w:t>
            </w:r>
            <w:r>
              <w:rPr>
                <w:rFonts w:hint="eastAsia" w:ascii="宋体" w:hAnsi="宋体" w:eastAsia="宋体" w:cs="宋体"/>
                <w:spacing w:val="-5"/>
                <w:sz w:val="18"/>
                <w:szCs w:val="18"/>
              </w:rPr>
              <w:t>31日，对增值税小规模纳税人、小型微利企业</w:t>
            </w:r>
            <w:r>
              <w:rPr>
                <w:rFonts w:hint="eastAsia" w:ascii="宋体" w:hAnsi="宋体" w:eastAsia="宋体" w:cs="宋体"/>
                <w:spacing w:val="-6"/>
                <w:sz w:val="18"/>
                <w:szCs w:val="18"/>
              </w:rPr>
              <w:t>和个体</w:t>
            </w:r>
            <w:r>
              <w:rPr>
                <w:rFonts w:hint="eastAsia" w:ascii="宋体" w:hAnsi="宋体" w:eastAsia="宋体" w:cs="宋体"/>
                <w:spacing w:val="-1"/>
                <w:sz w:val="18"/>
                <w:szCs w:val="18"/>
              </w:rPr>
              <w:t>工商户减半征收。按财政部税务总局住房城乡建设部公告2023年第70号，对保障性住房项目免收。进</w:t>
            </w:r>
            <w:r>
              <w:rPr>
                <w:rFonts w:hint="eastAsia" w:ascii="宋体" w:hAnsi="宋体" w:eastAsia="宋体" w:cs="宋体"/>
                <w:spacing w:val="-4"/>
                <w:sz w:val="18"/>
                <w:szCs w:val="18"/>
              </w:rPr>
              <w:t>一步扶持自主就业退役士兵创业就业政策详见财政部</w:t>
            </w:r>
            <w:r>
              <w:rPr>
                <w:rFonts w:hint="eastAsia" w:ascii="宋体" w:hAnsi="宋体" w:eastAsia="宋体" w:cs="宋体"/>
                <w:spacing w:val="-1"/>
                <w:sz w:val="18"/>
                <w:szCs w:val="18"/>
              </w:rPr>
              <w:t>税务总局退役军人事务部公告2023年第14号。进一</w:t>
            </w:r>
            <w:r>
              <w:rPr>
                <w:rFonts w:hint="eastAsia" w:ascii="宋体" w:hAnsi="宋体" w:eastAsia="宋体" w:cs="宋体"/>
                <w:sz w:val="18"/>
                <w:szCs w:val="18"/>
              </w:rPr>
              <w:t>步支持重点群体创业就业政策详见财政部税务总局人力资源社会保障部农业农村部公告2023年第15</w:t>
            </w:r>
            <w:r>
              <w:rPr>
                <w:rFonts w:hint="eastAsia" w:ascii="宋体" w:hAnsi="宋体" w:eastAsia="宋体" w:cs="宋体"/>
                <w:spacing w:val="-2"/>
                <w:sz w:val="18"/>
                <w:szCs w:val="18"/>
              </w:rPr>
              <w:t>号。</w:t>
            </w:r>
          </w:p>
        </w:tc>
        <w:tc>
          <w:tcPr>
            <w:tcW w:w="1035" w:type="dxa"/>
            <w:vAlign w:val="top"/>
          </w:tcPr>
          <w:p w14:paraId="4DC73A31">
            <w:pPr>
              <w:spacing w:line="240" w:lineRule="auto"/>
              <w:rPr>
                <w:rFonts w:hint="eastAsia" w:ascii="宋体" w:hAnsi="宋体" w:eastAsia="宋体" w:cs="宋体"/>
                <w:sz w:val="18"/>
                <w:szCs w:val="18"/>
              </w:rPr>
            </w:pPr>
          </w:p>
          <w:p w14:paraId="7B0838C6">
            <w:pPr>
              <w:spacing w:line="240" w:lineRule="auto"/>
              <w:rPr>
                <w:rFonts w:hint="eastAsia" w:ascii="宋体" w:hAnsi="宋体" w:eastAsia="宋体" w:cs="宋体"/>
                <w:sz w:val="18"/>
                <w:szCs w:val="18"/>
              </w:rPr>
            </w:pPr>
          </w:p>
          <w:p w14:paraId="06C1EA37">
            <w:pPr>
              <w:spacing w:line="240" w:lineRule="auto"/>
              <w:rPr>
                <w:rFonts w:hint="eastAsia" w:ascii="宋体" w:hAnsi="宋体" w:eastAsia="宋体" w:cs="宋体"/>
                <w:sz w:val="18"/>
                <w:szCs w:val="18"/>
              </w:rPr>
            </w:pPr>
          </w:p>
          <w:p w14:paraId="4090DBBF">
            <w:pPr>
              <w:spacing w:line="240" w:lineRule="auto"/>
              <w:rPr>
                <w:rFonts w:hint="eastAsia" w:ascii="宋体" w:hAnsi="宋体" w:eastAsia="宋体" w:cs="宋体"/>
                <w:sz w:val="18"/>
                <w:szCs w:val="18"/>
              </w:rPr>
            </w:pPr>
          </w:p>
          <w:p w14:paraId="78C12549">
            <w:pPr>
              <w:spacing w:line="240" w:lineRule="auto"/>
              <w:rPr>
                <w:rFonts w:hint="eastAsia" w:ascii="宋体" w:hAnsi="宋体" w:eastAsia="宋体" w:cs="宋体"/>
                <w:sz w:val="18"/>
                <w:szCs w:val="18"/>
              </w:rPr>
            </w:pPr>
          </w:p>
          <w:p w14:paraId="2E2F637B">
            <w:pPr>
              <w:spacing w:line="240" w:lineRule="auto"/>
              <w:rPr>
                <w:rFonts w:hint="eastAsia" w:ascii="宋体" w:hAnsi="宋体" w:eastAsia="宋体" w:cs="宋体"/>
                <w:sz w:val="18"/>
                <w:szCs w:val="18"/>
              </w:rPr>
            </w:pPr>
          </w:p>
          <w:p w14:paraId="725A1B71">
            <w:pPr>
              <w:pStyle w:val="7"/>
              <w:spacing w:before="62" w:line="240" w:lineRule="auto"/>
              <w:ind w:left="339" w:leftChars="0"/>
              <w:rPr>
                <w:rFonts w:hint="eastAsia" w:ascii="宋体" w:hAnsi="宋体" w:eastAsia="宋体" w:cs="宋体"/>
                <w:kern w:val="2"/>
                <w:sz w:val="18"/>
                <w:szCs w:val="18"/>
                <w:lang w:val="en-US" w:eastAsia="en-US" w:bidi="ar-SA"/>
              </w:rPr>
            </w:pPr>
            <w:r>
              <w:rPr>
                <w:rFonts w:hint="eastAsia" w:ascii="宋体" w:hAnsi="宋体" w:eastAsia="宋体" w:cs="宋体"/>
                <w:spacing w:val="4"/>
                <w:sz w:val="18"/>
                <w:szCs w:val="18"/>
              </w:rPr>
              <w:t>中央</w:t>
            </w:r>
          </w:p>
        </w:tc>
      </w:tr>
    </w:tbl>
    <w:p w14:paraId="5FF95FBF">
      <w:pPr>
        <w:pStyle w:val="2"/>
        <w:wordWrap w:val="0"/>
        <w:spacing w:before="101" w:line="240" w:lineRule="auto"/>
        <w:jc w:val="both"/>
        <w:rPr>
          <w:rFonts w:hint="eastAsia" w:ascii="宋体" w:hAnsi="宋体" w:eastAsia="宋体" w:cs="宋体"/>
          <w:sz w:val="18"/>
          <w:szCs w:val="18"/>
          <w:lang w:val="en-US" w:eastAsia="zh-CN"/>
        </w:rPr>
        <w:sectPr>
          <w:headerReference r:id="rId3" w:type="default"/>
          <w:footerReference r:id="rId4" w:type="default"/>
          <w:pgSz w:w="16760" w:h="11920"/>
          <w:pgMar w:top="400" w:right="1784" w:bottom="400" w:left="2005" w:header="0" w:footer="1020" w:gutter="0"/>
          <w:pgNumType w:fmt="decimal"/>
          <w:cols w:space="720" w:num="1"/>
        </w:sectPr>
      </w:pPr>
      <w:r>
        <w:rPr>
          <w:rFonts w:hint="eastAsia" w:ascii="宋体" w:hAnsi="宋体" w:eastAsia="宋体" w:cs="宋体"/>
          <w:spacing w:val="-4"/>
          <w:sz w:val="18"/>
          <w:szCs w:val="18"/>
          <w:lang w:val="en-US" w:eastAsia="zh-CN"/>
        </w:rPr>
        <w:t xml:space="preserve">   </w:t>
      </w:r>
    </w:p>
    <w:p w14:paraId="5709E46C">
      <w:pPr>
        <w:spacing w:before="1" w:line="240" w:lineRule="auto"/>
        <w:rPr>
          <w:rFonts w:hint="eastAsia" w:ascii="宋体" w:hAnsi="宋体" w:eastAsia="宋体" w:cs="宋体"/>
          <w:sz w:val="18"/>
          <w:szCs w:val="18"/>
        </w:rPr>
      </w:pPr>
    </w:p>
    <w:tbl>
      <w:tblPr>
        <w:tblStyle w:val="8"/>
        <w:tblW w:w="14460" w:type="dxa"/>
        <w:tblInd w:w="-7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5"/>
        <w:gridCol w:w="2402"/>
        <w:gridCol w:w="5038"/>
        <w:gridCol w:w="5282"/>
        <w:gridCol w:w="943"/>
      </w:tblGrid>
      <w:tr w14:paraId="27A2F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2" w:hRule="atLeast"/>
        </w:trPr>
        <w:tc>
          <w:tcPr>
            <w:tcW w:w="795" w:type="dxa"/>
            <w:vAlign w:val="top"/>
          </w:tcPr>
          <w:p w14:paraId="2358B1F8">
            <w:pPr>
              <w:spacing w:line="240" w:lineRule="auto"/>
              <w:rPr>
                <w:rFonts w:hint="eastAsia" w:ascii="宋体" w:hAnsi="宋体" w:eastAsia="宋体" w:cs="宋体"/>
                <w:sz w:val="18"/>
                <w:szCs w:val="18"/>
              </w:rPr>
            </w:pPr>
          </w:p>
          <w:p w14:paraId="3D80FDAC">
            <w:pPr>
              <w:spacing w:line="240" w:lineRule="auto"/>
              <w:rPr>
                <w:rFonts w:hint="eastAsia" w:ascii="宋体" w:hAnsi="宋体" w:eastAsia="宋体" w:cs="宋体"/>
                <w:sz w:val="18"/>
                <w:szCs w:val="18"/>
              </w:rPr>
            </w:pPr>
          </w:p>
          <w:p w14:paraId="15F8434B">
            <w:pPr>
              <w:spacing w:line="240" w:lineRule="auto"/>
              <w:rPr>
                <w:rFonts w:hint="eastAsia" w:ascii="宋体" w:hAnsi="宋体" w:eastAsia="宋体" w:cs="宋体"/>
                <w:sz w:val="18"/>
                <w:szCs w:val="18"/>
              </w:rPr>
            </w:pPr>
          </w:p>
          <w:p w14:paraId="00430B29">
            <w:pPr>
              <w:spacing w:line="240" w:lineRule="auto"/>
              <w:rPr>
                <w:rFonts w:hint="eastAsia" w:ascii="宋体" w:hAnsi="宋体" w:eastAsia="宋体" w:cs="宋体"/>
                <w:sz w:val="18"/>
                <w:szCs w:val="18"/>
              </w:rPr>
            </w:pPr>
          </w:p>
          <w:p w14:paraId="0FFB8F64">
            <w:pPr>
              <w:spacing w:line="240" w:lineRule="auto"/>
              <w:rPr>
                <w:rFonts w:hint="eastAsia" w:ascii="宋体" w:hAnsi="宋体" w:eastAsia="宋体" w:cs="宋体"/>
                <w:sz w:val="18"/>
                <w:szCs w:val="18"/>
              </w:rPr>
            </w:pPr>
          </w:p>
          <w:p w14:paraId="5EA75013">
            <w:pPr>
              <w:spacing w:line="240" w:lineRule="auto"/>
              <w:rPr>
                <w:rFonts w:hint="eastAsia" w:ascii="宋体" w:hAnsi="宋体" w:eastAsia="宋体" w:cs="宋体"/>
                <w:sz w:val="18"/>
                <w:szCs w:val="18"/>
              </w:rPr>
            </w:pPr>
          </w:p>
          <w:p w14:paraId="7FBD6915">
            <w:pPr>
              <w:pStyle w:val="7"/>
              <w:spacing w:before="62" w:line="240" w:lineRule="auto"/>
              <w:ind w:left="305"/>
              <w:rPr>
                <w:rFonts w:hint="eastAsia" w:ascii="宋体" w:hAnsi="宋体" w:eastAsia="宋体" w:cs="宋体"/>
                <w:sz w:val="18"/>
                <w:szCs w:val="18"/>
              </w:rPr>
            </w:pPr>
            <w:r>
              <w:rPr>
                <w:rFonts w:hint="eastAsia" w:ascii="宋体" w:hAnsi="宋体" w:eastAsia="宋体" w:cs="宋体"/>
                <w:sz w:val="18"/>
                <w:szCs w:val="18"/>
              </w:rPr>
              <w:t>4</w:t>
            </w:r>
          </w:p>
        </w:tc>
        <w:tc>
          <w:tcPr>
            <w:tcW w:w="2402" w:type="dxa"/>
            <w:vAlign w:val="top"/>
          </w:tcPr>
          <w:p w14:paraId="13C0B0AD">
            <w:pPr>
              <w:spacing w:line="240" w:lineRule="auto"/>
              <w:rPr>
                <w:rFonts w:hint="eastAsia" w:ascii="宋体" w:hAnsi="宋体" w:eastAsia="宋体" w:cs="宋体"/>
                <w:sz w:val="18"/>
                <w:szCs w:val="18"/>
              </w:rPr>
            </w:pPr>
          </w:p>
          <w:p w14:paraId="7444C877">
            <w:pPr>
              <w:spacing w:line="240" w:lineRule="auto"/>
              <w:rPr>
                <w:rFonts w:hint="eastAsia" w:ascii="宋体" w:hAnsi="宋体" w:eastAsia="宋体" w:cs="宋体"/>
                <w:sz w:val="18"/>
                <w:szCs w:val="18"/>
              </w:rPr>
            </w:pPr>
          </w:p>
          <w:p w14:paraId="447DFE1F">
            <w:pPr>
              <w:spacing w:line="240" w:lineRule="auto"/>
              <w:rPr>
                <w:rFonts w:hint="eastAsia" w:ascii="宋体" w:hAnsi="宋体" w:eastAsia="宋体" w:cs="宋体"/>
                <w:sz w:val="18"/>
                <w:szCs w:val="18"/>
              </w:rPr>
            </w:pPr>
          </w:p>
          <w:p w14:paraId="47F86E95">
            <w:pPr>
              <w:spacing w:line="240" w:lineRule="auto"/>
              <w:rPr>
                <w:rFonts w:hint="eastAsia" w:ascii="宋体" w:hAnsi="宋体" w:eastAsia="宋体" w:cs="宋体"/>
                <w:sz w:val="18"/>
                <w:szCs w:val="18"/>
              </w:rPr>
            </w:pPr>
          </w:p>
          <w:p w14:paraId="0082CBEC">
            <w:pPr>
              <w:spacing w:line="240" w:lineRule="auto"/>
              <w:rPr>
                <w:rFonts w:hint="eastAsia" w:ascii="宋体" w:hAnsi="宋体" w:eastAsia="宋体" w:cs="宋体"/>
                <w:sz w:val="18"/>
                <w:szCs w:val="18"/>
              </w:rPr>
            </w:pPr>
          </w:p>
          <w:p w14:paraId="139997E5">
            <w:pPr>
              <w:spacing w:line="240" w:lineRule="auto"/>
              <w:rPr>
                <w:rFonts w:hint="eastAsia" w:ascii="宋体" w:hAnsi="宋体" w:eastAsia="宋体" w:cs="宋体"/>
                <w:sz w:val="18"/>
                <w:szCs w:val="18"/>
              </w:rPr>
            </w:pPr>
          </w:p>
          <w:p w14:paraId="33285DF9">
            <w:pPr>
              <w:pStyle w:val="7"/>
              <w:spacing w:before="62" w:line="240" w:lineRule="auto"/>
              <w:ind w:left="330" w:firstLine="184" w:firstLineChars="100"/>
              <w:rPr>
                <w:rFonts w:hint="eastAsia" w:ascii="宋体" w:hAnsi="宋体" w:eastAsia="宋体" w:cs="宋体"/>
                <w:sz w:val="18"/>
                <w:szCs w:val="18"/>
              </w:rPr>
            </w:pPr>
            <w:r>
              <w:rPr>
                <w:rFonts w:hint="eastAsia" w:ascii="宋体" w:hAnsi="宋体" w:eastAsia="宋体" w:cs="宋体"/>
                <w:spacing w:val="2"/>
                <w:sz w:val="18"/>
                <w:szCs w:val="18"/>
              </w:rPr>
              <w:t>地方教育附加</w:t>
            </w:r>
          </w:p>
        </w:tc>
        <w:tc>
          <w:tcPr>
            <w:tcW w:w="5038" w:type="dxa"/>
            <w:vAlign w:val="top"/>
          </w:tcPr>
          <w:p w14:paraId="684B636E">
            <w:pPr>
              <w:spacing w:line="240" w:lineRule="auto"/>
              <w:rPr>
                <w:rFonts w:hint="eastAsia" w:ascii="宋体" w:hAnsi="宋体" w:eastAsia="宋体" w:cs="宋体"/>
                <w:sz w:val="18"/>
                <w:szCs w:val="18"/>
              </w:rPr>
            </w:pPr>
          </w:p>
          <w:p w14:paraId="2979D473">
            <w:pPr>
              <w:spacing w:line="240" w:lineRule="auto"/>
              <w:rPr>
                <w:rFonts w:hint="eastAsia" w:ascii="宋体" w:hAnsi="宋体" w:eastAsia="宋体" w:cs="宋体"/>
                <w:sz w:val="18"/>
                <w:szCs w:val="18"/>
              </w:rPr>
            </w:pPr>
          </w:p>
          <w:p w14:paraId="4584FF0A">
            <w:pPr>
              <w:spacing w:line="240" w:lineRule="auto"/>
              <w:rPr>
                <w:rFonts w:hint="eastAsia" w:ascii="宋体" w:hAnsi="宋体" w:eastAsia="宋体" w:cs="宋体"/>
                <w:sz w:val="18"/>
                <w:szCs w:val="18"/>
              </w:rPr>
            </w:pPr>
          </w:p>
          <w:p w14:paraId="408F802A">
            <w:pPr>
              <w:spacing w:line="240" w:lineRule="auto"/>
              <w:rPr>
                <w:rFonts w:hint="eastAsia" w:ascii="宋体" w:hAnsi="宋体" w:eastAsia="宋体" w:cs="宋体"/>
                <w:sz w:val="18"/>
                <w:szCs w:val="18"/>
              </w:rPr>
            </w:pPr>
          </w:p>
          <w:p w14:paraId="3EFF6838">
            <w:pPr>
              <w:spacing w:line="240" w:lineRule="auto"/>
              <w:rPr>
                <w:rFonts w:hint="eastAsia" w:ascii="宋体" w:hAnsi="宋体" w:eastAsia="宋体" w:cs="宋体"/>
                <w:sz w:val="18"/>
                <w:szCs w:val="18"/>
              </w:rPr>
            </w:pPr>
          </w:p>
          <w:p w14:paraId="1AEF66D9">
            <w:pPr>
              <w:spacing w:line="240" w:lineRule="auto"/>
              <w:rPr>
                <w:rFonts w:hint="eastAsia" w:ascii="宋体" w:hAnsi="宋体" w:eastAsia="宋体" w:cs="宋体"/>
                <w:sz w:val="18"/>
                <w:szCs w:val="18"/>
              </w:rPr>
            </w:pPr>
          </w:p>
          <w:p w14:paraId="4CA79EF2">
            <w:pPr>
              <w:pStyle w:val="7"/>
              <w:spacing w:before="61" w:line="240" w:lineRule="auto"/>
              <w:ind w:left="123"/>
              <w:rPr>
                <w:rFonts w:hint="eastAsia" w:ascii="宋体" w:hAnsi="宋体" w:eastAsia="宋体" w:cs="宋体"/>
                <w:sz w:val="18"/>
                <w:szCs w:val="18"/>
                <w:lang w:eastAsia="zh-CN"/>
              </w:rPr>
            </w:pPr>
            <w:r>
              <w:rPr>
                <w:rFonts w:hint="eastAsia" w:ascii="宋体" w:hAnsi="宋体" w:eastAsia="宋体" w:cs="宋体"/>
                <w:spacing w:val="-1"/>
                <w:sz w:val="18"/>
                <w:szCs w:val="18"/>
              </w:rPr>
              <w:t>实际缴纳的增值税、消费税税额的2%</w:t>
            </w:r>
            <w:r>
              <w:rPr>
                <w:rFonts w:hint="eastAsia" w:ascii="宋体" w:hAnsi="宋体" w:eastAsia="宋体" w:cs="宋体"/>
                <w:spacing w:val="-1"/>
                <w:sz w:val="18"/>
                <w:szCs w:val="18"/>
                <w:lang w:eastAsia="zh-CN"/>
              </w:rPr>
              <w:t>。</w:t>
            </w:r>
          </w:p>
        </w:tc>
        <w:tc>
          <w:tcPr>
            <w:tcW w:w="5282" w:type="dxa"/>
            <w:vAlign w:val="top"/>
          </w:tcPr>
          <w:p w14:paraId="7129E954">
            <w:pPr>
              <w:pStyle w:val="7"/>
              <w:spacing w:before="20" w:line="240" w:lineRule="auto"/>
              <w:jc w:val="both"/>
              <w:rPr>
                <w:rFonts w:hint="eastAsia" w:ascii="宋体" w:hAnsi="宋体" w:eastAsia="宋体" w:cs="宋体"/>
                <w:sz w:val="18"/>
                <w:szCs w:val="18"/>
              </w:rPr>
            </w:pPr>
            <w:r>
              <w:rPr>
                <w:rFonts w:hint="eastAsia" w:ascii="宋体" w:hAnsi="宋体" w:eastAsia="宋体" w:cs="宋体"/>
                <w:spacing w:val="-9"/>
                <w:sz w:val="18"/>
                <w:szCs w:val="18"/>
              </w:rPr>
              <w:t>《教育法》,财综函〔2003〕2号，财综〔2010〕98号，</w:t>
            </w:r>
            <w:r>
              <w:rPr>
                <w:rFonts w:hint="eastAsia" w:ascii="宋体" w:hAnsi="宋体" w:eastAsia="宋体" w:cs="宋体"/>
                <w:spacing w:val="-2"/>
                <w:sz w:val="18"/>
                <w:szCs w:val="18"/>
              </w:rPr>
              <w:t>财综函〔2010〕79号，辽政发〔20</w:t>
            </w:r>
            <w:r>
              <w:rPr>
                <w:rFonts w:hint="eastAsia" w:ascii="宋体" w:hAnsi="宋体" w:eastAsia="宋体" w:cs="宋体"/>
                <w:spacing w:val="-3"/>
                <w:sz w:val="18"/>
                <w:szCs w:val="18"/>
              </w:rPr>
              <w:t>11〕4号，辽财非</w:t>
            </w:r>
            <w:r>
              <w:rPr>
                <w:rFonts w:hint="eastAsia" w:ascii="宋体" w:hAnsi="宋体" w:eastAsia="宋体" w:cs="宋体"/>
                <w:spacing w:val="-12"/>
                <w:sz w:val="18"/>
                <w:szCs w:val="18"/>
              </w:rPr>
              <w:t>〔2011〕694号，辽财非〔2011〕996号，辽财非〔2014〕</w:t>
            </w:r>
            <w:r>
              <w:rPr>
                <w:rFonts w:hint="eastAsia" w:ascii="宋体" w:hAnsi="宋体" w:eastAsia="宋体" w:cs="宋体"/>
                <w:spacing w:val="-2"/>
                <w:sz w:val="18"/>
                <w:szCs w:val="18"/>
              </w:rPr>
              <w:t>219号，财税〔2019〕21号，财税〔2019〕</w:t>
            </w:r>
            <w:r>
              <w:rPr>
                <w:rFonts w:hint="eastAsia" w:ascii="宋体" w:hAnsi="宋体" w:eastAsia="宋体" w:cs="宋体"/>
                <w:spacing w:val="-3"/>
                <w:sz w:val="18"/>
                <w:szCs w:val="18"/>
              </w:rPr>
              <w:t>22号，财</w:t>
            </w:r>
            <w:r>
              <w:rPr>
                <w:rFonts w:hint="eastAsia" w:ascii="宋体" w:hAnsi="宋体" w:eastAsia="宋体" w:cs="宋体"/>
                <w:spacing w:val="-4"/>
                <w:sz w:val="18"/>
                <w:szCs w:val="18"/>
              </w:rPr>
              <w:t>税〔2019〕46号。按财综〔2010〕54号，对中小学校</w:t>
            </w:r>
            <w:r>
              <w:rPr>
                <w:rFonts w:hint="eastAsia" w:ascii="宋体" w:hAnsi="宋体" w:eastAsia="宋体" w:cs="宋体"/>
                <w:spacing w:val="-12"/>
                <w:sz w:val="18"/>
                <w:szCs w:val="18"/>
              </w:rPr>
              <w:t>“校舍安全工程”免征。财政部税务总局公告2023年第</w:t>
            </w:r>
            <w:r>
              <w:rPr>
                <w:rFonts w:hint="eastAsia" w:ascii="宋体" w:hAnsi="宋体" w:eastAsia="宋体" w:cs="宋体"/>
                <w:sz w:val="18"/>
                <w:szCs w:val="18"/>
              </w:rPr>
              <w:t>12号，自2023年1月1日至2027年12月31日，对</w:t>
            </w:r>
            <w:r>
              <w:rPr>
                <w:rFonts w:hint="eastAsia" w:ascii="宋体" w:hAnsi="宋体" w:eastAsia="宋体" w:cs="宋体"/>
                <w:spacing w:val="-5"/>
                <w:sz w:val="18"/>
                <w:szCs w:val="18"/>
              </w:rPr>
              <w:t>增值税小规模纳税人、小型微利企业和个体工商户减</w:t>
            </w:r>
            <w:r>
              <w:rPr>
                <w:rFonts w:hint="eastAsia" w:ascii="宋体" w:hAnsi="宋体" w:eastAsia="宋体" w:cs="宋体"/>
                <w:sz w:val="18"/>
                <w:szCs w:val="18"/>
              </w:rPr>
              <w:t>半征收。按财政部税务总局住房城乡建设部公告</w:t>
            </w:r>
            <w:r>
              <w:rPr>
                <w:rFonts w:hint="eastAsia" w:ascii="宋体" w:hAnsi="宋体" w:eastAsia="宋体" w:cs="宋体"/>
                <w:spacing w:val="-4"/>
                <w:sz w:val="18"/>
                <w:szCs w:val="18"/>
              </w:rPr>
              <w:t>2023年第70号，对保障性住房项目免</w:t>
            </w:r>
            <w:r>
              <w:rPr>
                <w:rFonts w:hint="eastAsia" w:ascii="宋体" w:hAnsi="宋体" w:eastAsia="宋体" w:cs="宋体"/>
                <w:spacing w:val="-5"/>
                <w:sz w:val="18"/>
                <w:szCs w:val="18"/>
              </w:rPr>
              <w:t>收。进一步扶持</w:t>
            </w:r>
            <w:r>
              <w:rPr>
                <w:rFonts w:hint="eastAsia" w:ascii="宋体" w:hAnsi="宋体" w:eastAsia="宋体" w:cs="宋体"/>
                <w:sz w:val="18"/>
                <w:szCs w:val="18"/>
              </w:rPr>
              <w:t>自主就业退役士兵创业就业政策详见财政部税务总</w:t>
            </w:r>
            <w:r>
              <w:rPr>
                <w:rFonts w:hint="eastAsia" w:ascii="宋体" w:hAnsi="宋体" w:eastAsia="宋体" w:cs="宋体"/>
                <w:spacing w:val="-1"/>
                <w:sz w:val="18"/>
                <w:szCs w:val="18"/>
              </w:rPr>
              <w:t>局退役军人事务部公告2023年第14号。进一步支持</w:t>
            </w:r>
            <w:r>
              <w:rPr>
                <w:rFonts w:hint="eastAsia" w:ascii="宋体" w:hAnsi="宋体" w:eastAsia="宋体" w:cs="宋体"/>
                <w:sz w:val="18"/>
                <w:szCs w:val="18"/>
              </w:rPr>
              <w:t>重点群体创业就业政策详见财政部税务总局人力资</w:t>
            </w:r>
            <w:r>
              <w:rPr>
                <w:rFonts w:hint="eastAsia" w:ascii="宋体" w:hAnsi="宋体" w:eastAsia="宋体" w:cs="宋体"/>
                <w:spacing w:val="1"/>
                <w:sz w:val="18"/>
                <w:szCs w:val="18"/>
              </w:rPr>
              <w:t>源社会保障部农业农村部公告2023年第15号。</w:t>
            </w:r>
          </w:p>
        </w:tc>
        <w:tc>
          <w:tcPr>
            <w:tcW w:w="943" w:type="dxa"/>
            <w:vAlign w:val="top"/>
          </w:tcPr>
          <w:p w14:paraId="6A52A9F3">
            <w:pPr>
              <w:spacing w:line="240" w:lineRule="auto"/>
              <w:rPr>
                <w:rFonts w:hint="eastAsia" w:ascii="宋体" w:hAnsi="宋体" w:eastAsia="宋体" w:cs="宋体"/>
                <w:sz w:val="18"/>
                <w:szCs w:val="18"/>
              </w:rPr>
            </w:pPr>
          </w:p>
          <w:p w14:paraId="1B80C7FC">
            <w:pPr>
              <w:spacing w:line="240" w:lineRule="auto"/>
              <w:rPr>
                <w:rFonts w:hint="eastAsia" w:ascii="宋体" w:hAnsi="宋体" w:eastAsia="宋体" w:cs="宋体"/>
                <w:sz w:val="18"/>
                <w:szCs w:val="18"/>
              </w:rPr>
            </w:pPr>
          </w:p>
          <w:p w14:paraId="1F7E207E">
            <w:pPr>
              <w:spacing w:line="240" w:lineRule="auto"/>
              <w:rPr>
                <w:rFonts w:hint="eastAsia" w:ascii="宋体" w:hAnsi="宋体" w:eastAsia="宋体" w:cs="宋体"/>
                <w:sz w:val="18"/>
                <w:szCs w:val="18"/>
              </w:rPr>
            </w:pPr>
          </w:p>
          <w:p w14:paraId="3DA8BCCC">
            <w:pPr>
              <w:spacing w:line="240" w:lineRule="auto"/>
              <w:rPr>
                <w:rFonts w:hint="eastAsia" w:ascii="宋体" w:hAnsi="宋体" w:eastAsia="宋体" w:cs="宋体"/>
                <w:sz w:val="18"/>
                <w:szCs w:val="18"/>
              </w:rPr>
            </w:pPr>
          </w:p>
          <w:p w14:paraId="2CADCFEC">
            <w:pPr>
              <w:spacing w:line="240" w:lineRule="auto"/>
              <w:rPr>
                <w:rFonts w:hint="eastAsia" w:ascii="宋体" w:hAnsi="宋体" w:eastAsia="宋体" w:cs="宋体"/>
                <w:sz w:val="18"/>
                <w:szCs w:val="18"/>
              </w:rPr>
            </w:pPr>
          </w:p>
          <w:p w14:paraId="6EBDADD4">
            <w:pPr>
              <w:spacing w:line="240" w:lineRule="auto"/>
              <w:rPr>
                <w:rFonts w:hint="eastAsia" w:ascii="宋体" w:hAnsi="宋体" w:eastAsia="宋体" w:cs="宋体"/>
                <w:sz w:val="18"/>
                <w:szCs w:val="18"/>
              </w:rPr>
            </w:pPr>
          </w:p>
          <w:p w14:paraId="25A8BAD1">
            <w:pPr>
              <w:pStyle w:val="7"/>
              <w:spacing w:before="62" w:line="240" w:lineRule="auto"/>
              <w:ind w:left="339"/>
              <w:rPr>
                <w:rFonts w:hint="eastAsia" w:ascii="宋体" w:hAnsi="宋体" w:eastAsia="宋体" w:cs="宋体"/>
                <w:sz w:val="18"/>
                <w:szCs w:val="18"/>
              </w:rPr>
            </w:pPr>
            <w:r>
              <w:rPr>
                <w:rFonts w:hint="eastAsia" w:ascii="宋体" w:hAnsi="宋体" w:eastAsia="宋体" w:cs="宋体"/>
                <w:spacing w:val="4"/>
                <w:sz w:val="18"/>
                <w:szCs w:val="18"/>
              </w:rPr>
              <w:t>中央</w:t>
            </w:r>
          </w:p>
        </w:tc>
      </w:tr>
      <w:tr w14:paraId="718D5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4" w:hRule="atLeast"/>
        </w:trPr>
        <w:tc>
          <w:tcPr>
            <w:tcW w:w="795" w:type="dxa"/>
            <w:vAlign w:val="top"/>
          </w:tcPr>
          <w:p w14:paraId="43E9E76F">
            <w:pPr>
              <w:spacing w:line="240" w:lineRule="auto"/>
              <w:rPr>
                <w:rFonts w:hint="eastAsia" w:ascii="宋体" w:hAnsi="宋体" w:eastAsia="宋体" w:cs="宋体"/>
                <w:sz w:val="18"/>
                <w:szCs w:val="18"/>
              </w:rPr>
            </w:pPr>
          </w:p>
          <w:p w14:paraId="3D3EC31A">
            <w:pPr>
              <w:spacing w:line="240" w:lineRule="auto"/>
              <w:rPr>
                <w:rFonts w:hint="eastAsia" w:ascii="宋体" w:hAnsi="宋体" w:eastAsia="宋体" w:cs="宋体"/>
                <w:sz w:val="18"/>
                <w:szCs w:val="18"/>
              </w:rPr>
            </w:pPr>
          </w:p>
          <w:p w14:paraId="51BDF66F">
            <w:pPr>
              <w:spacing w:line="240" w:lineRule="auto"/>
              <w:rPr>
                <w:rFonts w:hint="eastAsia" w:ascii="宋体" w:hAnsi="宋体" w:eastAsia="宋体" w:cs="宋体"/>
                <w:sz w:val="18"/>
                <w:szCs w:val="18"/>
              </w:rPr>
            </w:pPr>
          </w:p>
          <w:p w14:paraId="1621F8B8">
            <w:pPr>
              <w:spacing w:line="240" w:lineRule="auto"/>
              <w:rPr>
                <w:rFonts w:hint="eastAsia" w:ascii="宋体" w:hAnsi="宋体" w:eastAsia="宋体" w:cs="宋体"/>
                <w:sz w:val="18"/>
                <w:szCs w:val="18"/>
              </w:rPr>
            </w:pPr>
          </w:p>
          <w:p w14:paraId="2A68D295">
            <w:pPr>
              <w:pStyle w:val="7"/>
              <w:spacing w:before="58" w:line="240" w:lineRule="auto"/>
              <w:ind w:left="315"/>
              <w:rPr>
                <w:rFonts w:hint="eastAsia" w:ascii="宋体" w:hAnsi="宋体" w:eastAsia="宋体" w:cs="宋体"/>
                <w:sz w:val="18"/>
                <w:szCs w:val="18"/>
              </w:rPr>
            </w:pPr>
            <w:r>
              <w:rPr>
                <w:rFonts w:hint="eastAsia" w:ascii="宋体" w:hAnsi="宋体" w:eastAsia="宋体" w:cs="宋体"/>
                <w:sz w:val="18"/>
                <w:szCs w:val="18"/>
              </w:rPr>
              <w:t>5</w:t>
            </w:r>
          </w:p>
        </w:tc>
        <w:tc>
          <w:tcPr>
            <w:tcW w:w="2402" w:type="dxa"/>
            <w:vAlign w:val="top"/>
          </w:tcPr>
          <w:p w14:paraId="7A758CFE">
            <w:pPr>
              <w:spacing w:line="240" w:lineRule="auto"/>
              <w:rPr>
                <w:rFonts w:hint="eastAsia" w:ascii="宋体" w:hAnsi="宋体" w:eastAsia="宋体" w:cs="宋体"/>
                <w:sz w:val="18"/>
                <w:szCs w:val="18"/>
              </w:rPr>
            </w:pPr>
          </w:p>
          <w:p w14:paraId="27BC35D2">
            <w:pPr>
              <w:spacing w:line="240" w:lineRule="auto"/>
              <w:rPr>
                <w:rFonts w:hint="eastAsia" w:ascii="宋体" w:hAnsi="宋体" w:eastAsia="宋体" w:cs="宋体"/>
                <w:sz w:val="18"/>
                <w:szCs w:val="18"/>
              </w:rPr>
            </w:pPr>
          </w:p>
          <w:p w14:paraId="761ABC6A">
            <w:pPr>
              <w:spacing w:line="240" w:lineRule="auto"/>
              <w:rPr>
                <w:rFonts w:hint="eastAsia" w:ascii="宋体" w:hAnsi="宋体" w:eastAsia="宋体" w:cs="宋体"/>
                <w:sz w:val="18"/>
                <w:szCs w:val="18"/>
              </w:rPr>
            </w:pPr>
          </w:p>
          <w:p w14:paraId="7E1C3014">
            <w:pPr>
              <w:spacing w:line="240" w:lineRule="auto"/>
              <w:rPr>
                <w:rFonts w:hint="eastAsia" w:ascii="宋体" w:hAnsi="宋体" w:eastAsia="宋体" w:cs="宋体"/>
                <w:sz w:val="18"/>
                <w:szCs w:val="18"/>
              </w:rPr>
            </w:pPr>
          </w:p>
          <w:p w14:paraId="1579EF15">
            <w:pPr>
              <w:pStyle w:val="7"/>
              <w:spacing w:before="58" w:line="240" w:lineRule="auto"/>
              <w:ind w:left="171" w:firstLine="356" w:firstLineChars="200"/>
              <w:rPr>
                <w:rFonts w:hint="eastAsia" w:ascii="宋体" w:hAnsi="宋体" w:eastAsia="宋体" w:cs="宋体"/>
                <w:sz w:val="18"/>
                <w:szCs w:val="18"/>
              </w:rPr>
            </w:pPr>
            <w:r>
              <w:rPr>
                <w:rFonts w:hint="eastAsia" w:ascii="宋体" w:hAnsi="宋体" w:eastAsia="宋体" w:cs="宋体"/>
                <w:spacing w:val="-1"/>
                <w:sz w:val="18"/>
                <w:szCs w:val="18"/>
              </w:rPr>
              <w:t>残疾人就业保障金</w:t>
            </w:r>
          </w:p>
        </w:tc>
        <w:tc>
          <w:tcPr>
            <w:tcW w:w="5038" w:type="dxa"/>
            <w:vAlign w:val="top"/>
          </w:tcPr>
          <w:p w14:paraId="633C4FF9">
            <w:pPr>
              <w:pStyle w:val="7"/>
              <w:spacing w:before="23" w:line="240" w:lineRule="auto"/>
              <w:ind w:right="171"/>
              <w:jc w:val="both"/>
              <w:rPr>
                <w:rFonts w:hint="eastAsia" w:ascii="宋体" w:hAnsi="宋体" w:eastAsia="宋体" w:cs="宋体"/>
                <w:sz w:val="18"/>
                <w:szCs w:val="18"/>
              </w:rPr>
            </w:pPr>
            <w:r>
              <w:rPr>
                <w:rFonts w:hint="eastAsia" w:ascii="宋体" w:hAnsi="宋体" w:eastAsia="宋体" w:cs="宋体"/>
                <w:spacing w:val="-1"/>
                <w:sz w:val="18"/>
                <w:szCs w:val="18"/>
              </w:rPr>
              <w:t>残疾人就业保障金年缴纳金额=(上年用人单</w:t>
            </w:r>
            <w:r>
              <w:rPr>
                <w:rFonts w:hint="eastAsia" w:ascii="宋体" w:hAnsi="宋体" w:eastAsia="宋体" w:cs="宋体"/>
                <w:sz w:val="18"/>
                <w:szCs w:val="18"/>
              </w:rPr>
              <w:t>位在职职工人数*规定安排残疾人就业比例-上年用人单位实际安排的残疾人就业人数)*上年用人单位在职职工年平均工资</w:t>
            </w:r>
            <w:r>
              <w:rPr>
                <w:rFonts w:hint="eastAsia" w:ascii="宋体" w:hAnsi="宋体" w:eastAsia="宋体" w:cs="宋体"/>
                <w:spacing w:val="1"/>
                <w:sz w:val="18"/>
                <w:szCs w:val="18"/>
              </w:rPr>
              <w:t>按财政部公告2023年第8号，自2023年1月</w:t>
            </w:r>
            <w:r>
              <w:rPr>
                <w:rFonts w:hint="eastAsia" w:ascii="宋体" w:hAnsi="宋体" w:eastAsia="宋体" w:cs="宋体"/>
                <w:sz w:val="18"/>
                <w:szCs w:val="18"/>
              </w:rPr>
              <w:t>1日起至2027年12月31日，延续实施残疾人</w:t>
            </w:r>
            <w:r>
              <w:rPr>
                <w:rFonts w:hint="eastAsia" w:ascii="宋体" w:hAnsi="宋体" w:eastAsia="宋体" w:cs="宋体"/>
                <w:spacing w:val="-1"/>
                <w:sz w:val="18"/>
                <w:szCs w:val="18"/>
              </w:rPr>
              <w:t>就业保障金分档减缴政策：用人单位安排残疾</w:t>
            </w:r>
            <w:r>
              <w:rPr>
                <w:rFonts w:hint="eastAsia" w:ascii="宋体" w:hAnsi="宋体" w:eastAsia="宋体" w:cs="宋体"/>
                <w:spacing w:val="3"/>
                <w:sz w:val="18"/>
                <w:szCs w:val="18"/>
              </w:rPr>
              <w:t>人就业比例1%(含)-1.5%(不含)之间的，</w:t>
            </w:r>
            <w:r>
              <w:rPr>
                <w:rFonts w:hint="eastAsia" w:ascii="宋体" w:hAnsi="宋体" w:eastAsia="宋体" w:cs="宋体"/>
                <w:spacing w:val="-1"/>
                <w:sz w:val="18"/>
                <w:szCs w:val="18"/>
              </w:rPr>
              <w:t>按应缴费额的50%征收；1%以下的，按应缴费</w:t>
            </w:r>
            <w:r>
              <w:rPr>
                <w:rFonts w:hint="eastAsia" w:ascii="宋体" w:hAnsi="宋体" w:eastAsia="宋体" w:cs="宋体"/>
                <w:sz w:val="18"/>
                <w:szCs w:val="18"/>
              </w:rPr>
              <w:t>额的90%征收；在职职工人数在30人(含)以</w:t>
            </w:r>
            <w:r>
              <w:rPr>
                <w:rFonts w:hint="eastAsia" w:ascii="宋体" w:hAnsi="宋体" w:eastAsia="宋体" w:cs="宋体"/>
                <w:spacing w:val="1"/>
                <w:sz w:val="18"/>
                <w:szCs w:val="18"/>
              </w:rPr>
              <w:t>下的企业，继续免征残疾人就业保障金。</w:t>
            </w:r>
          </w:p>
        </w:tc>
        <w:tc>
          <w:tcPr>
            <w:tcW w:w="5282" w:type="dxa"/>
            <w:vAlign w:val="top"/>
          </w:tcPr>
          <w:p w14:paraId="04E312F6">
            <w:pPr>
              <w:spacing w:line="240" w:lineRule="auto"/>
              <w:rPr>
                <w:rFonts w:hint="eastAsia" w:ascii="宋体" w:hAnsi="宋体" w:eastAsia="宋体" w:cs="宋体"/>
                <w:sz w:val="18"/>
                <w:szCs w:val="18"/>
              </w:rPr>
            </w:pPr>
          </w:p>
          <w:p w14:paraId="0CFE212A">
            <w:pPr>
              <w:spacing w:line="240" w:lineRule="auto"/>
              <w:rPr>
                <w:rFonts w:hint="eastAsia" w:ascii="宋体" w:hAnsi="宋体" w:eastAsia="宋体" w:cs="宋体"/>
                <w:sz w:val="18"/>
                <w:szCs w:val="18"/>
              </w:rPr>
            </w:pPr>
          </w:p>
          <w:p w14:paraId="3526BB6F">
            <w:pPr>
              <w:pStyle w:val="7"/>
              <w:spacing w:before="59" w:line="240" w:lineRule="auto"/>
              <w:ind w:left="35"/>
              <w:rPr>
                <w:rFonts w:hint="eastAsia" w:ascii="宋体" w:hAnsi="宋体" w:eastAsia="宋体" w:cs="宋体"/>
                <w:sz w:val="18"/>
                <w:szCs w:val="18"/>
              </w:rPr>
            </w:pPr>
            <w:r>
              <w:rPr>
                <w:rFonts w:hint="eastAsia" w:ascii="宋体" w:hAnsi="宋体" w:eastAsia="宋体" w:cs="宋体"/>
                <w:spacing w:val="3"/>
                <w:sz w:val="18"/>
                <w:szCs w:val="18"/>
              </w:rPr>
              <w:t>《残疾人保障法》,财综〔2001〕16号，财税〔2017〕</w:t>
            </w:r>
            <w:r>
              <w:rPr>
                <w:rFonts w:hint="eastAsia" w:ascii="宋体" w:hAnsi="宋体" w:eastAsia="宋体" w:cs="宋体"/>
                <w:sz w:val="18"/>
                <w:szCs w:val="18"/>
              </w:rPr>
              <w:t>18号，财税〔2018〕39号，财政部公告2019年第98号，财政部公告2023年第8号，省政府令第75</w:t>
            </w:r>
            <w:r>
              <w:rPr>
                <w:rFonts w:hint="eastAsia" w:ascii="宋体" w:hAnsi="宋体" w:eastAsia="宋体" w:cs="宋体"/>
                <w:spacing w:val="-1"/>
                <w:sz w:val="18"/>
                <w:szCs w:val="18"/>
              </w:rPr>
              <w:t>号，辽财综字〔1997〕359号，辽政发〔2003〕23号，辽</w:t>
            </w:r>
            <w:r>
              <w:rPr>
                <w:rFonts w:hint="eastAsia" w:ascii="宋体" w:hAnsi="宋体" w:eastAsia="宋体" w:cs="宋体"/>
                <w:spacing w:val="1"/>
                <w:sz w:val="18"/>
                <w:szCs w:val="18"/>
              </w:rPr>
              <w:t>政发〔2006〕15号，辽财非〔2016〕415号，辽残联</w:t>
            </w:r>
            <w:r>
              <w:rPr>
                <w:rFonts w:hint="eastAsia" w:ascii="宋体" w:hAnsi="宋体" w:eastAsia="宋体" w:cs="宋体"/>
                <w:sz w:val="18"/>
                <w:szCs w:val="18"/>
              </w:rPr>
              <w:t>发〔2017〕41号。</w:t>
            </w:r>
          </w:p>
        </w:tc>
        <w:tc>
          <w:tcPr>
            <w:tcW w:w="943" w:type="dxa"/>
            <w:vAlign w:val="top"/>
          </w:tcPr>
          <w:p w14:paraId="0194969D">
            <w:pPr>
              <w:spacing w:line="240" w:lineRule="auto"/>
              <w:rPr>
                <w:rFonts w:hint="eastAsia" w:ascii="宋体" w:hAnsi="宋体" w:eastAsia="宋体" w:cs="宋体"/>
                <w:sz w:val="18"/>
                <w:szCs w:val="18"/>
              </w:rPr>
            </w:pPr>
          </w:p>
          <w:p w14:paraId="59C28171">
            <w:pPr>
              <w:spacing w:line="240" w:lineRule="auto"/>
              <w:rPr>
                <w:rFonts w:hint="eastAsia" w:ascii="宋体" w:hAnsi="宋体" w:eastAsia="宋体" w:cs="宋体"/>
                <w:sz w:val="18"/>
                <w:szCs w:val="18"/>
              </w:rPr>
            </w:pPr>
          </w:p>
          <w:p w14:paraId="720DAF67">
            <w:pPr>
              <w:spacing w:line="240" w:lineRule="auto"/>
              <w:rPr>
                <w:rFonts w:hint="eastAsia" w:ascii="宋体" w:hAnsi="宋体" w:eastAsia="宋体" w:cs="宋体"/>
                <w:sz w:val="18"/>
                <w:szCs w:val="18"/>
              </w:rPr>
            </w:pPr>
          </w:p>
          <w:p w14:paraId="3CAF0FCC">
            <w:pPr>
              <w:spacing w:line="240" w:lineRule="auto"/>
              <w:rPr>
                <w:rFonts w:hint="eastAsia" w:ascii="宋体" w:hAnsi="宋体" w:eastAsia="宋体" w:cs="宋体"/>
                <w:sz w:val="18"/>
                <w:szCs w:val="18"/>
              </w:rPr>
            </w:pPr>
          </w:p>
          <w:p w14:paraId="46DED3A6">
            <w:pPr>
              <w:pStyle w:val="7"/>
              <w:spacing w:before="59" w:line="240" w:lineRule="auto"/>
              <w:ind w:left="338"/>
              <w:rPr>
                <w:rFonts w:hint="eastAsia" w:ascii="宋体" w:hAnsi="宋体" w:eastAsia="宋体" w:cs="宋体"/>
                <w:sz w:val="18"/>
                <w:szCs w:val="18"/>
              </w:rPr>
            </w:pPr>
            <w:r>
              <w:rPr>
                <w:rFonts w:hint="eastAsia" w:ascii="宋体" w:hAnsi="宋体" w:eastAsia="宋体" w:cs="宋体"/>
                <w:spacing w:val="3"/>
                <w:sz w:val="18"/>
                <w:szCs w:val="18"/>
              </w:rPr>
              <w:t>中央</w:t>
            </w:r>
          </w:p>
        </w:tc>
      </w:tr>
      <w:tr w14:paraId="0129B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4" w:hRule="atLeast"/>
        </w:trPr>
        <w:tc>
          <w:tcPr>
            <w:tcW w:w="795" w:type="dxa"/>
            <w:vAlign w:val="top"/>
          </w:tcPr>
          <w:p w14:paraId="1813D8D7">
            <w:pPr>
              <w:spacing w:line="240" w:lineRule="auto"/>
              <w:rPr>
                <w:rFonts w:hint="eastAsia" w:ascii="宋体" w:hAnsi="宋体" w:eastAsia="宋体" w:cs="宋体"/>
                <w:sz w:val="18"/>
                <w:szCs w:val="18"/>
              </w:rPr>
            </w:pPr>
          </w:p>
          <w:p w14:paraId="2C5F8733">
            <w:pPr>
              <w:spacing w:line="240" w:lineRule="auto"/>
              <w:rPr>
                <w:rFonts w:hint="eastAsia" w:ascii="宋体" w:hAnsi="宋体" w:eastAsia="宋体" w:cs="宋体"/>
                <w:sz w:val="18"/>
                <w:szCs w:val="18"/>
              </w:rPr>
            </w:pPr>
          </w:p>
          <w:p w14:paraId="475FC886">
            <w:pPr>
              <w:spacing w:line="240" w:lineRule="auto"/>
              <w:rPr>
                <w:rFonts w:hint="eastAsia" w:ascii="宋体" w:hAnsi="宋体" w:eastAsia="宋体" w:cs="宋体"/>
                <w:sz w:val="18"/>
                <w:szCs w:val="18"/>
              </w:rPr>
            </w:pPr>
          </w:p>
          <w:p w14:paraId="1E6DC0C1">
            <w:pPr>
              <w:pStyle w:val="7"/>
              <w:spacing w:before="59" w:line="240" w:lineRule="auto"/>
              <w:ind w:left="315"/>
              <w:rPr>
                <w:rFonts w:hint="eastAsia" w:ascii="宋体" w:hAnsi="宋体" w:eastAsia="宋体" w:cs="宋体"/>
                <w:sz w:val="18"/>
                <w:szCs w:val="18"/>
              </w:rPr>
            </w:pPr>
            <w:r>
              <w:rPr>
                <w:rFonts w:hint="eastAsia" w:ascii="宋体" w:hAnsi="宋体" w:eastAsia="宋体" w:cs="宋体"/>
                <w:sz w:val="18"/>
                <w:szCs w:val="18"/>
              </w:rPr>
              <w:t>6</w:t>
            </w:r>
          </w:p>
        </w:tc>
        <w:tc>
          <w:tcPr>
            <w:tcW w:w="2402" w:type="dxa"/>
            <w:vAlign w:val="top"/>
          </w:tcPr>
          <w:p w14:paraId="1FDBBFE3">
            <w:pPr>
              <w:spacing w:line="240" w:lineRule="auto"/>
              <w:rPr>
                <w:rFonts w:hint="eastAsia" w:ascii="宋体" w:hAnsi="宋体" w:eastAsia="宋体" w:cs="宋体"/>
                <w:sz w:val="18"/>
                <w:szCs w:val="18"/>
              </w:rPr>
            </w:pPr>
          </w:p>
          <w:p w14:paraId="79C2FB40">
            <w:pPr>
              <w:spacing w:line="240" w:lineRule="auto"/>
              <w:rPr>
                <w:rFonts w:hint="eastAsia" w:ascii="宋体" w:hAnsi="宋体" w:eastAsia="宋体" w:cs="宋体"/>
                <w:sz w:val="18"/>
                <w:szCs w:val="18"/>
              </w:rPr>
            </w:pPr>
          </w:p>
          <w:p w14:paraId="027572CA">
            <w:pPr>
              <w:spacing w:line="240" w:lineRule="auto"/>
              <w:rPr>
                <w:rFonts w:hint="eastAsia" w:ascii="宋体" w:hAnsi="宋体" w:eastAsia="宋体" w:cs="宋体"/>
                <w:sz w:val="18"/>
                <w:szCs w:val="18"/>
              </w:rPr>
            </w:pPr>
          </w:p>
          <w:p w14:paraId="0FCEA0DC">
            <w:pPr>
              <w:pStyle w:val="7"/>
              <w:spacing w:before="58" w:line="240" w:lineRule="auto"/>
              <w:ind w:left="261" w:firstLine="352" w:firstLineChars="200"/>
              <w:rPr>
                <w:rFonts w:hint="eastAsia" w:ascii="宋体" w:hAnsi="宋体" w:eastAsia="宋体" w:cs="宋体"/>
                <w:sz w:val="18"/>
                <w:szCs w:val="18"/>
              </w:rPr>
            </w:pPr>
            <w:r>
              <w:rPr>
                <w:rFonts w:hint="eastAsia" w:ascii="宋体" w:hAnsi="宋体" w:eastAsia="宋体" w:cs="宋体"/>
                <w:spacing w:val="-2"/>
                <w:sz w:val="18"/>
                <w:szCs w:val="18"/>
              </w:rPr>
              <w:t>文化事业建设费</w:t>
            </w:r>
          </w:p>
        </w:tc>
        <w:tc>
          <w:tcPr>
            <w:tcW w:w="5038" w:type="dxa"/>
            <w:vAlign w:val="top"/>
          </w:tcPr>
          <w:p w14:paraId="7573841A">
            <w:pPr>
              <w:spacing w:line="240" w:lineRule="auto"/>
              <w:rPr>
                <w:rFonts w:hint="eastAsia" w:ascii="宋体" w:hAnsi="宋体" w:eastAsia="宋体" w:cs="宋体"/>
                <w:sz w:val="18"/>
                <w:szCs w:val="18"/>
              </w:rPr>
            </w:pPr>
          </w:p>
          <w:p w14:paraId="1AD19D19">
            <w:pPr>
              <w:spacing w:line="240" w:lineRule="auto"/>
              <w:rPr>
                <w:rFonts w:hint="eastAsia" w:ascii="宋体" w:hAnsi="宋体" w:eastAsia="宋体" w:cs="宋体"/>
                <w:sz w:val="18"/>
                <w:szCs w:val="18"/>
              </w:rPr>
            </w:pPr>
          </w:p>
          <w:p w14:paraId="0635C49B">
            <w:pPr>
              <w:spacing w:line="240" w:lineRule="auto"/>
              <w:rPr>
                <w:rFonts w:hint="eastAsia" w:ascii="宋体" w:hAnsi="宋体" w:eastAsia="宋体" w:cs="宋体"/>
                <w:sz w:val="18"/>
                <w:szCs w:val="18"/>
              </w:rPr>
            </w:pPr>
          </w:p>
          <w:p w14:paraId="5E44638C">
            <w:pPr>
              <w:pStyle w:val="7"/>
              <w:spacing w:before="59" w:line="240" w:lineRule="auto"/>
              <w:ind w:left="132"/>
              <w:rPr>
                <w:rFonts w:hint="eastAsia" w:ascii="宋体" w:hAnsi="宋体" w:eastAsia="宋体" w:cs="宋体"/>
                <w:sz w:val="18"/>
                <w:szCs w:val="18"/>
                <w:lang w:eastAsia="zh-CN"/>
              </w:rPr>
            </w:pPr>
            <w:r>
              <w:rPr>
                <w:rFonts w:hint="eastAsia" w:ascii="宋体" w:hAnsi="宋体" w:eastAsia="宋体" w:cs="宋体"/>
                <w:spacing w:val="-1"/>
                <w:sz w:val="18"/>
                <w:szCs w:val="18"/>
              </w:rPr>
              <w:t>计费销售额*3%</w:t>
            </w:r>
            <w:r>
              <w:rPr>
                <w:rFonts w:hint="eastAsia" w:ascii="宋体" w:hAnsi="宋体" w:eastAsia="宋体" w:cs="宋体"/>
                <w:spacing w:val="-1"/>
                <w:sz w:val="18"/>
                <w:szCs w:val="18"/>
                <w:lang w:eastAsia="zh-CN"/>
              </w:rPr>
              <w:t>。</w:t>
            </w:r>
          </w:p>
        </w:tc>
        <w:tc>
          <w:tcPr>
            <w:tcW w:w="5282" w:type="dxa"/>
            <w:vAlign w:val="top"/>
          </w:tcPr>
          <w:p w14:paraId="7DF1C828">
            <w:pPr>
              <w:pStyle w:val="7"/>
              <w:spacing w:before="132" w:line="240" w:lineRule="auto"/>
              <w:rPr>
                <w:rFonts w:hint="eastAsia" w:ascii="宋体" w:hAnsi="宋体" w:eastAsia="宋体" w:cs="宋体"/>
                <w:sz w:val="18"/>
                <w:szCs w:val="18"/>
              </w:rPr>
            </w:pPr>
            <w:r>
              <w:rPr>
                <w:rFonts w:hint="eastAsia" w:ascii="宋体" w:hAnsi="宋体" w:eastAsia="宋体" w:cs="宋体"/>
                <w:spacing w:val="-7"/>
                <w:sz w:val="18"/>
                <w:szCs w:val="18"/>
              </w:rPr>
              <w:t>国发〔1996〕37号，财综〔2002〕33号，国办发〔2006〕</w:t>
            </w:r>
            <w:r>
              <w:rPr>
                <w:rFonts w:hint="eastAsia" w:ascii="宋体" w:hAnsi="宋体" w:eastAsia="宋体" w:cs="宋体"/>
                <w:spacing w:val="-4"/>
                <w:sz w:val="18"/>
                <w:szCs w:val="18"/>
              </w:rPr>
              <w:t>43号，财综〔2013〕102号，财税〔2014〕122号，财</w:t>
            </w:r>
            <w:r>
              <w:rPr>
                <w:rFonts w:hint="eastAsia" w:ascii="宋体" w:hAnsi="宋体" w:eastAsia="宋体" w:cs="宋体"/>
                <w:spacing w:val="-1"/>
                <w:sz w:val="18"/>
                <w:szCs w:val="18"/>
              </w:rPr>
              <w:t>税〔2019〕46号，辽地税行〔199</w:t>
            </w:r>
            <w:r>
              <w:rPr>
                <w:rFonts w:hint="eastAsia" w:ascii="宋体" w:hAnsi="宋体" w:eastAsia="宋体" w:cs="宋体"/>
                <w:spacing w:val="-2"/>
                <w:sz w:val="18"/>
                <w:szCs w:val="18"/>
              </w:rPr>
              <w:t>7〕205号，辽财预</w:t>
            </w:r>
            <w:r>
              <w:rPr>
                <w:rFonts w:hint="eastAsia" w:ascii="宋体" w:hAnsi="宋体" w:eastAsia="宋体" w:cs="宋体"/>
                <w:spacing w:val="-9"/>
                <w:sz w:val="18"/>
                <w:szCs w:val="18"/>
              </w:rPr>
              <w:t>字〔1997〕348号，辽财教〔2007〕</w:t>
            </w:r>
            <w:r>
              <w:rPr>
                <w:rFonts w:hint="eastAsia" w:ascii="宋体" w:hAnsi="宋体" w:eastAsia="宋体" w:cs="宋体"/>
                <w:spacing w:val="-10"/>
                <w:sz w:val="18"/>
                <w:szCs w:val="18"/>
              </w:rPr>
              <w:t>67号，辽财非〔2013〕</w:t>
            </w:r>
            <w:r>
              <w:rPr>
                <w:rFonts w:hint="eastAsia" w:ascii="宋体" w:hAnsi="宋体" w:eastAsia="宋体" w:cs="宋体"/>
                <w:spacing w:val="-2"/>
                <w:sz w:val="18"/>
                <w:szCs w:val="18"/>
              </w:rPr>
              <w:t>642号。按辽财税〔2019〕229号，自2019年7月1</w:t>
            </w:r>
            <w:r>
              <w:rPr>
                <w:rFonts w:hint="eastAsia" w:ascii="宋体" w:hAnsi="宋体" w:eastAsia="宋体" w:cs="宋体"/>
                <w:sz w:val="18"/>
                <w:szCs w:val="18"/>
              </w:rPr>
              <w:t>日至2024年12月31日，对归属地方收入的，按征缴额50%减免。财政部公告2020年第25号。财政部国</w:t>
            </w:r>
            <w:r>
              <w:rPr>
                <w:rFonts w:hint="eastAsia" w:ascii="宋体" w:hAnsi="宋体" w:eastAsia="宋体" w:cs="宋体"/>
                <w:spacing w:val="-1"/>
                <w:sz w:val="18"/>
                <w:szCs w:val="18"/>
              </w:rPr>
              <w:t>家税务总局公告2021年第7号。</w:t>
            </w:r>
          </w:p>
        </w:tc>
        <w:tc>
          <w:tcPr>
            <w:tcW w:w="943" w:type="dxa"/>
            <w:vAlign w:val="top"/>
          </w:tcPr>
          <w:p w14:paraId="0E5BD617">
            <w:pPr>
              <w:spacing w:line="240" w:lineRule="auto"/>
              <w:rPr>
                <w:rFonts w:hint="eastAsia" w:ascii="宋体" w:hAnsi="宋体" w:eastAsia="宋体" w:cs="宋体"/>
                <w:sz w:val="18"/>
                <w:szCs w:val="18"/>
              </w:rPr>
            </w:pPr>
          </w:p>
          <w:p w14:paraId="25C81FC1">
            <w:pPr>
              <w:spacing w:line="240" w:lineRule="auto"/>
              <w:rPr>
                <w:rFonts w:hint="eastAsia" w:ascii="宋体" w:hAnsi="宋体" w:eastAsia="宋体" w:cs="宋体"/>
                <w:sz w:val="18"/>
                <w:szCs w:val="18"/>
              </w:rPr>
            </w:pPr>
          </w:p>
          <w:p w14:paraId="6BF002FB">
            <w:pPr>
              <w:spacing w:line="240" w:lineRule="auto"/>
              <w:rPr>
                <w:rFonts w:hint="eastAsia" w:ascii="宋体" w:hAnsi="宋体" w:eastAsia="宋体" w:cs="宋体"/>
                <w:sz w:val="18"/>
                <w:szCs w:val="18"/>
              </w:rPr>
            </w:pPr>
          </w:p>
          <w:p w14:paraId="2E2E005D">
            <w:pPr>
              <w:pStyle w:val="7"/>
              <w:spacing w:before="58" w:line="240" w:lineRule="auto"/>
              <w:ind w:left="338"/>
              <w:rPr>
                <w:rFonts w:hint="eastAsia" w:ascii="宋体" w:hAnsi="宋体" w:eastAsia="宋体" w:cs="宋体"/>
                <w:sz w:val="18"/>
                <w:szCs w:val="18"/>
              </w:rPr>
            </w:pPr>
            <w:r>
              <w:rPr>
                <w:rFonts w:hint="eastAsia" w:ascii="宋体" w:hAnsi="宋体" w:eastAsia="宋体" w:cs="宋体"/>
                <w:spacing w:val="3"/>
                <w:sz w:val="18"/>
                <w:szCs w:val="18"/>
              </w:rPr>
              <w:t>中央</w:t>
            </w:r>
          </w:p>
        </w:tc>
      </w:tr>
    </w:tbl>
    <w:p w14:paraId="1A3449FC">
      <w:pPr>
        <w:spacing w:line="278" w:lineRule="auto"/>
        <w:jc w:val="right"/>
      </w:pPr>
    </w:p>
    <w:sectPr>
      <w:headerReference r:id="rId5" w:type="default"/>
      <w:footerReference r:id="rId6" w:type="default"/>
      <w:pgSz w:w="16840" w:h="11907" w:orient="landscape"/>
      <w:pgMar w:top="1588" w:right="2098" w:bottom="1474" w:left="2041" w:header="851" w:footer="1588" w:gutter="0"/>
      <w:lnNumType w:countBy="0" w:distance="360"/>
      <w:pgNumType w:fmt="decimal"/>
      <w:cols w:space="720" w:num="1"/>
      <w:docGrid w:type="lines"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7C010">
    <w:pPr>
      <w:spacing w:line="14" w:lineRule="auto"/>
      <w:rPr>
        <w:rFonts w:ascii="Arial"/>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E0DCF4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E0DCF4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4B652">
    <w:pPr>
      <w:pStyle w:val="3"/>
      <w:spacing w:beforeLines="0" w:afterLines="0"/>
      <w:ind w:right="360" w:firstLine="360"/>
      <w:rPr>
        <w:rFonts w:hint="default" w:eastAsia="Times New Roman"/>
        <w:sz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6E83FFB">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46E83FFB">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C39BB">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BCF6B">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D72F83"/>
    <w:rsid w:val="73EB6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79"/>
      <w:szCs w:val="79"/>
      <w:lang w:val="en-US" w:eastAsia="en-US" w:bidi="ar-SA"/>
    </w:rPr>
  </w:style>
  <w:style w:type="paragraph" w:styleId="3">
    <w:name w:val="footer"/>
    <w:basedOn w:val="1"/>
    <w:semiHidden/>
    <w:unhideWhenUsed/>
    <w:qFormat/>
    <w:uiPriority w:val="99"/>
    <w:pPr>
      <w:tabs>
        <w:tab w:val="center" w:pos="4153"/>
        <w:tab w:val="right" w:pos="8306"/>
      </w:tabs>
      <w:snapToGrid w:val="0"/>
      <w:jc w:val="left"/>
    </w:pPr>
    <w:rPr>
      <w:sz w:val="18"/>
      <w:szCs w:val="18"/>
    </w:rPr>
  </w:style>
  <w:style w:type="character" w:styleId="6">
    <w:name w:val="page number"/>
    <w:basedOn w:val="5"/>
    <w:unhideWhenUsed/>
    <w:qFormat/>
    <w:uiPriority w:val="99"/>
    <w:rPr>
      <w:rFonts w:hint="default" w:ascii="Times New Roman" w:hAnsi="Times New Roman" w:eastAsia="宋体"/>
      <w:sz w:val="24"/>
    </w:rPr>
  </w:style>
  <w:style w:type="paragraph" w:customStyle="1" w:styleId="7">
    <w:name w:val="Table Text"/>
    <w:basedOn w:val="1"/>
    <w:semiHidden/>
    <w:qFormat/>
    <w:uiPriority w:val="0"/>
    <w:rPr>
      <w:rFonts w:ascii="宋体" w:hAnsi="宋体" w:eastAsia="宋体" w:cs="宋体"/>
      <w:sz w:val="19"/>
      <w:szCs w:val="19"/>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1723</Words>
  <Characters>2081</Characters>
  <Lines>0</Lines>
  <Paragraphs>0</Paragraphs>
  <TotalTime>5</TotalTime>
  <ScaleCrop>false</ScaleCrop>
  <LinksUpToDate>false</LinksUpToDate>
  <CharactersWithSpaces>2084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2025-07-11T08:09:00Z</dcterms:created>
  <dc:creator>Administrator</dc:creator>
  <cp:lastModifiedBy>微笑向暖</cp:lastModifiedBy>
  <dcterms:modified xsi:type="dcterms:W3CDTF">2025-07-11T08:45:33Z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eyJoZGlkIjoiYjIxMWUzY2EwYmE1NjMwZDVmZTZiNjBmYzMyNjM1ZWUiLCJ1c2VySWQiOiIxMTU0MjkyOTM0In0=</vt:lpwstr>
  </property>
  <property fmtid="{D5CDD505-2E9C-101B-9397-08002B2CF9AE}" pid="4" name="ICV">
    <vt:lpwstr>4DCF3280239A4367BEBF44A0835C873E_12</vt:lpwstr>
  </property>
</Properties>
</file>