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97" w:line="224" w:lineRule="auto"/>
        <w:ind w:left="1179"/>
        <w:rPr>
          <w:rFonts w:ascii="黑体" w:hAnsi="黑体" w:eastAsia="黑体" w:cs="黑体"/>
          <w:sz w:val="30"/>
          <w:szCs w:val="30"/>
        </w:rPr>
      </w:pPr>
      <w:r>
        <w:rPr>
          <w:rFonts w:ascii="黑体" w:hAnsi="黑体" w:eastAsia="黑体" w:cs="黑体"/>
          <w:b/>
          <w:bCs/>
          <w:spacing w:val="30"/>
          <w:sz w:val="30"/>
          <w:szCs w:val="30"/>
        </w:rPr>
        <w:t>附件1</w:t>
      </w:r>
    </w:p>
    <w:p>
      <w:pPr>
        <w:pStyle w:val="2"/>
        <w:spacing w:before="42" w:line="219" w:lineRule="auto"/>
        <w:ind w:left="2850"/>
        <w:rPr>
          <w:sz w:val="40"/>
          <w:szCs w:val="40"/>
        </w:rPr>
      </w:pPr>
      <w:bookmarkStart w:id="0" w:name="_GoBack"/>
      <w:r>
        <w:rPr>
          <w:b/>
          <w:bCs/>
          <w:spacing w:val="-4"/>
          <w:sz w:val="40"/>
          <w:szCs w:val="40"/>
        </w:rPr>
        <w:t>2024年</w:t>
      </w:r>
      <w:r>
        <w:rPr>
          <w:rFonts w:hint="eastAsia"/>
          <w:b/>
          <w:bCs/>
          <w:spacing w:val="-4"/>
          <w:sz w:val="40"/>
          <w:szCs w:val="40"/>
          <w:lang w:val="en-US" w:eastAsia="zh-CN"/>
        </w:rPr>
        <w:t>康平县</w:t>
      </w:r>
      <w:r>
        <w:rPr>
          <w:b/>
          <w:bCs/>
          <w:spacing w:val="-4"/>
          <w:sz w:val="40"/>
          <w:szCs w:val="40"/>
        </w:rPr>
        <w:t>本级涉企行政事业性收费目录清单</w:t>
      </w:r>
    </w:p>
    <w:bookmarkEnd w:id="0"/>
    <w:p>
      <w:pPr>
        <w:spacing w:line="22" w:lineRule="exact"/>
      </w:pPr>
    </w:p>
    <w:tbl>
      <w:tblPr>
        <w:tblStyle w:val="7"/>
        <w:tblpPr w:leftFromText="180" w:rightFromText="180" w:vertAnchor="text" w:horzAnchor="page" w:tblpX="1170" w:tblpY="150"/>
        <w:tblOverlap w:val="never"/>
        <w:tblW w:w="1444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4"/>
        <w:gridCol w:w="969"/>
        <w:gridCol w:w="2618"/>
        <w:gridCol w:w="4588"/>
        <w:gridCol w:w="4410"/>
        <w:gridCol w:w="10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844" w:type="dxa"/>
            <w:vAlign w:val="top"/>
          </w:tcPr>
          <w:p>
            <w:pPr>
              <w:pStyle w:val="6"/>
              <w:spacing w:before="163" w:line="240" w:lineRule="auto"/>
              <w:ind w:left="224"/>
            </w:pPr>
            <w:r>
              <w:rPr>
                <w:spacing w:val="-2"/>
              </w:rPr>
              <w:t>序号</w:t>
            </w:r>
          </w:p>
        </w:tc>
        <w:tc>
          <w:tcPr>
            <w:tcW w:w="969" w:type="dxa"/>
            <w:vAlign w:val="top"/>
          </w:tcPr>
          <w:p>
            <w:pPr>
              <w:pStyle w:val="6"/>
              <w:spacing w:before="162" w:line="240" w:lineRule="auto"/>
              <w:ind w:left="91"/>
            </w:pPr>
            <w:r>
              <w:rPr>
                <w:spacing w:val="5"/>
              </w:rPr>
              <w:t>主管部门</w:t>
            </w:r>
          </w:p>
        </w:tc>
        <w:tc>
          <w:tcPr>
            <w:tcW w:w="2618" w:type="dxa"/>
            <w:vAlign w:val="top"/>
          </w:tcPr>
          <w:p>
            <w:pPr>
              <w:pStyle w:val="6"/>
              <w:spacing w:before="162" w:line="240" w:lineRule="auto"/>
              <w:ind w:left="951"/>
            </w:pPr>
            <w:r>
              <w:rPr>
                <w:spacing w:val="9"/>
              </w:rPr>
              <w:t>收费项目</w:t>
            </w:r>
          </w:p>
        </w:tc>
        <w:tc>
          <w:tcPr>
            <w:tcW w:w="4588" w:type="dxa"/>
            <w:vAlign w:val="top"/>
          </w:tcPr>
          <w:p>
            <w:pPr>
              <w:pStyle w:val="6"/>
              <w:spacing w:before="162" w:line="240" w:lineRule="auto"/>
              <w:ind w:left="1713"/>
            </w:pPr>
            <w:r>
              <w:rPr>
                <w:spacing w:val="2"/>
              </w:rPr>
              <w:t>收费标准</w:t>
            </w:r>
          </w:p>
        </w:tc>
        <w:tc>
          <w:tcPr>
            <w:tcW w:w="4410" w:type="dxa"/>
            <w:vAlign w:val="top"/>
          </w:tcPr>
          <w:p>
            <w:pPr>
              <w:pStyle w:val="6"/>
              <w:spacing w:before="161" w:line="240" w:lineRule="auto"/>
              <w:ind w:left="1547"/>
            </w:pPr>
            <w:r>
              <w:rPr>
                <w:spacing w:val="-2"/>
              </w:rPr>
              <w:t>政策依据</w:t>
            </w:r>
          </w:p>
        </w:tc>
        <w:tc>
          <w:tcPr>
            <w:tcW w:w="1020" w:type="dxa"/>
            <w:vAlign w:val="top"/>
          </w:tcPr>
          <w:p>
            <w:pPr>
              <w:pStyle w:val="6"/>
              <w:spacing w:before="53" w:line="240" w:lineRule="auto"/>
              <w:ind w:left="170"/>
            </w:pPr>
            <w:r>
              <w:rPr>
                <w:spacing w:val="-2"/>
              </w:rPr>
              <w:t>立项</w:t>
            </w:r>
          </w:p>
          <w:p>
            <w:pPr>
              <w:pStyle w:val="6"/>
              <w:spacing w:line="240" w:lineRule="auto"/>
              <w:ind w:left="170"/>
            </w:pPr>
            <w:r>
              <w:rPr>
                <w:spacing w:val="-3"/>
              </w:rPr>
              <w:t>级次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844" w:type="dxa"/>
            <w:vMerge w:val="restart"/>
            <w:tcBorders>
              <w:bottom w:val="nil"/>
            </w:tcBorders>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62" w:line="240" w:lineRule="auto"/>
              <w:ind w:left="314"/>
            </w:pPr>
            <w:r>
              <w:rPr>
                <w:position w:val="-4"/>
              </w:rPr>
              <w:t>一</w:t>
            </w:r>
          </w:p>
        </w:tc>
        <w:tc>
          <w:tcPr>
            <w:tcW w:w="969" w:type="dxa"/>
            <w:vMerge w:val="restart"/>
            <w:tcBorders>
              <w:bottom w:val="nil"/>
            </w:tcBorders>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62" w:line="240" w:lineRule="auto"/>
              <w:ind w:left="280"/>
            </w:pPr>
            <w:r>
              <w:rPr>
                <w:spacing w:val="5"/>
              </w:rPr>
              <w:t>公安</w:t>
            </w:r>
          </w:p>
        </w:tc>
        <w:tc>
          <w:tcPr>
            <w:tcW w:w="2618" w:type="dxa"/>
            <w:vAlign w:val="top"/>
          </w:tcPr>
          <w:p>
            <w:pPr>
              <w:pStyle w:val="6"/>
              <w:spacing w:before="257" w:line="240" w:lineRule="auto"/>
              <w:ind w:left="81"/>
            </w:pPr>
            <w:r>
              <w:rPr>
                <w:spacing w:val="2"/>
              </w:rPr>
              <w:t>1.证照费(机动车牌、证收费)</w:t>
            </w:r>
          </w:p>
        </w:tc>
        <w:tc>
          <w:tcPr>
            <w:tcW w:w="4588" w:type="dxa"/>
            <w:vAlign w:val="top"/>
          </w:tcPr>
          <w:p>
            <w:pPr>
              <w:spacing w:line="240" w:lineRule="auto"/>
              <w:rPr>
                <w:rFonts w:ascii="Arial"/>
                <w:sz w:val="21"/>
              </w:rPr>
            </w:pPr>
          </w:p>
        </w:tc>
        <w:tc>
          <w:tcPr>
            <w:tcW w:w="4410" w:type="dxa"/>
            <w:vAlign w:val="top"/>
          </w:tcPr>
          <w:p>
            <w:pPr>
              <w:spacing w:line="240" w:lineRule="auto"/>
              <w:rPr>
                <w:rFonts w:ascii="Arial"/>
                <w:sz w:val="21"/>
              </w:rPr>
            </w:pPr>
          </w:p>
        </w:tc>
        <w:tc>
          <w:tcPr>
            <w:tcW w:w="1020" w:type="dxa"/>
            <w:vAlign w:val="top"/>
          </w:tcPr>
          <w:p>
            <w:pPr>
              <w:spacing w:line="240" w:lineRule="auto"/>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844" w:type="dxa"/>
            <w:vMerge w:val="continue"/>
            <w:tcBorders>
              <w:top w:val="nil"/>
              <w:bottom w:val="nil"/>
            </w:tcBorders>
            <w:vAlign w:val="top"/>
          </w:tcPr>
          <w:p>
            <w:pPr>
              <w:spacing w:line="240" w:lineRule="auto"/>
              <w:rPr>
                <w:rFonts w:ascii="Arial"/>
                <w:sz w:val="21"/>
              </w:rPr>
            </w:pPr>
          </w:p>
        </w:tc>
        <w:tc>
          <w:tcPr>
            <w:tcW w:w="969" w:type="dxa"/>
            <w:vMerge w:val="continue"/>
            <w:tcBorders>
              <w:top w:val="nil"/>
              <w:bottom w:val="nil"/>
            </w:tcBorders>
            <w:vAlign w:val="top"/>
          </w:tcPr>
          <w:p>
            <w:pPr>
              <w:spacing w:line="240" w:lineRule="auto"/>
              <w:rPr>
                <w:rFonts w:ascii="Arial"/>
                <w:sz w:val="21"/>
              </w:rPr>
            </w:pPr>
          </w:p>
        </w:tc>
        <w:tc>
          <w:tcPr>
            <w:tcW w:w="2618" w:type="dxa"/>
            <w:vAlign w:val="top"/>
          </w:tcPr>
          <w:p>
            <w:pPr>
              <w:pStyle w:val="6"/>
              <w:spacing w:before="278" w:line="240" w:lineRule="auto"/>
              <w:ind w:left="171"/>
            </w:pPr>
            <w:r>
              <w:t>(1)机动车辆号牌证工本费</w:t>
            </w:r>
          </w:p>
        </w:tc>
        <w:tc>
          <w:tcPr>
            <w:tcW w:w="4588" w:type="dxa"/>
            <w:vAlign w:val="top"/>
          </w:tcPr>
          <w:p>
            <w:pPr>
              <w:pStyle w:val="6"/>
              <w:spacing w:before="58" w:line="240" w:lineRule="auto"/>
              <w:ind w:left="13" w:firstLine="78"/>
            </w:pPr>
            <w:r>
              <w:rPr>
                <w:spacing w:val="-4"/>
              </w:rPr>
              <w:t>汽车反光100元/副；临时5元/张；挂车反</w:t>
            </w:r>
            <w:r>
              <w:rPr>
                <w:spacing w:val="-5"/>
              </w:rPr>
              <w:t>光50元</w:t>
            </w:r>
            <w:r>
              <w:rPr>
                <w:spacing w:val="-1"/>
              </w:rPr>
              <w:t>/副；三轮汽车、低速货车、拖拉机反光40元/副；摩托车反光35元/副。</w:t>
            </w:r>
          </w:p>
        </w:tc>
        <w:tc>
          <w:tcPr>
            <w:tcW w:w="4410" w:type="dxa"/>
            <w:vAlign w:val="top"/>
          </w:tcPr>
          <w:p>
            <w:pPr>
              <w:pStyle w:val="6"/>
              <w:spacing w:before="177" w:line="240" w:lineRule="auto"/>
            </w:pPr>
            <w:r>
              <w:rPr>
                <w:spacing w:val="-10"/>
              </w:rPr>
              <w:t>发改价格〔2004〕2831号，发改价格规〔2019〕</w:t>
            </w:r>
            <w:r>
              <w:rPr>
                <w:spacing w:val="-3"/>
              </w:rPr>
              <w:t>1931号。</w:t>
            </w:r>
          </w:p>
        </w:tc>
        <w:tc>
          <w:tcPr>
            <w:tcW w:w="1020" w:type="dxa"/>
            <w:vAlign w:val="top"/>
          </w:tcPr>
          <w:p>
            <w:pPr>
              <w:pStyle w:val="6"/>
              <w:spacing w:before="280" w:line="240" w:lineRule="auto"/>
              <w:ind w:left="170"/>
            </w:pPr>
            <w:r>
              <w:rPr>
                <w:spacing w:val="4"/>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844" w:type="dxa"/>
            <w:vMerge w:val="continue"/>
            <w:tcBorders>
              <w:top w:val="nil"/>
              <w:bottom w:val="nil"/>
            </w:tcBorders>
            <w:vAlign w:val="top"/>
          </w:tcPr>
          <w:p>
            <w:pPr>
              <w:spacing w:line="240" w:lineRule="auto"/>
              <w:rPr>
                <w:rFonts w:ascii="Arial"/>
                <w:sz w:val="21"/>
              </w:rPr>
            </w:pPr>
          </w:p>
        </w:tc>
        <w:tc>
          <w:tcPr>
            <w:tcW w:w="969" w:type="dxa"/>
            <w:vMerge w:val="continue"/>
            <w:tcBorders>
              <w:top w:val="nil"/>
              <w:bottom w:val="nil"/>
            </w:tcBorders>
            <w:vAlign w:val="top"/>
          </w:tcPr>
          <w:p>
            <w:pPr>
              <w:spacing w:line="240" w:lineRule="auto"/>
              <w:rPr>
                <w:rFonts w:ascii="Arial"/>
                <w:sz w:val="21"/>
              </w:rPr>
            </w:pPr>
          </w:p>
        </w:tc>
        <w:tc>
          <w:tcPr>
            <w:tcW w:w="2618" w:type="dxa"/>
            <w:vAlign w:val="top"/>
          </w:tcPr>
          <w:p>
            <w:pPr>
              <w:pStyle w:val="6"/>
              <w:spacing w:before="170" w:line="240" w:lineRule="auto"/>
              <w:ind w:left="72" w:right="75" w:firstLine="79"/>
            </w:pPr>
            <w:r>
              <w:t>(2)机动车行驶证、登记证工</w:t>
            </w:r>
            <w:r>
              <w:rPr>
                <w:spacing w:val="4"/>
              </w:rPr>
              <w:t xml:space="preserve"> </w:t>
            </w:r>
            <w:r>
              <w:rPr>
                <w:spacing w:val="-3"/>
              </w:rPr>
              <w:t>本费</w:t>
            </w:r>
          </w:p>
        </w:tc>
        <w:tc>
          <w:tcPr>
            <w:tcW w:w="4588" w:type="dxa"/>
            <w:vAlign w:val="top"/>
          </w:tcPr>
          <w:p>
            <w:pPr>
              <w:pStyle w:val="6"/>
              <w:spacing w:before="170" w:line="240" w:lineRule="auto"/>
              <w:ind w:left="124" w:right="113" w:hanging="30"/>
            </w:pPr>
            <w:r>
              <w:rPr>
                <w:spacing w:val="-1"/>
              </w:rPr>
              <w:t>行驶证工本费10元/本；临时行驶证工本费10元/本；登记证10元/本。</w:t>
            </w:r>
          </w:p>
        </w:tc>
        <w:tc>
          <w:tcPr>
            <w:tcW w:w="4410" w:type="dxa"/>
            <w:vAlign w:val="top"/>
          </w:tcPr>
          <w:p>
            <w:pPr>
              <w:pStyle w:val="6"/>
              <w:spacing w:before="170" w:line="240" w:lineRule="auto"/>
            </w:pPr>
            <w:r>
              <w:rPr>
                <w:spacing w:val="-13"/>
              </w:rPr>
              <w:t>发改</w:t>
            </w:r>
            <w:r>
              <w:rPr>
                <w:spacing w:val="-12"/>
              </w:rPr>
              <w:t>价格〔2004〕2831号，发改价格〔2017〕118</w:t>
            </w:r>
            <w:r>
              <w:rPr>
                <w:spacing w:val="-10"/>
              </w:rPr>
              <w:t>6</w:t>
            </w:r>
            <w:r>
              <w:rPr>
                <w:spacing w:val="-2"/>
              </w:rPr>
              <w:t>号。</w:t>
            </w:r>
          </w:p>
        </w:tc>
        <w:tc>
          <w:tcPr>
            <w:tcW w:w="1020" w:type="dxa"/>
            <w:vAlign w:val="top"/>
          </w:tcPr>
          <w:p>
            <w:pPr>
              <w:pStyle w:val="6"/>
              <w:spacing w:before="271" w:line="240" w:lineRule="auto"/>
              <w:ind w:left="170"/>
            </w:pPr>
            <w:r>
              <w:rPr>
                <w:spacing w:val="4"/>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844" w:type="dxa"/>
            <w:vMerge w:val="continue"/>
            <w:tcBorders>
              <w:top w:val="nil"/>
            </w:tcBorders>
            <w:vAlign w:val="top"/>
          </w:tcPr>
          <w:p>
            <w:pPr>
              <w:spacing w:line="240" w:lineRule="auto"/>
              <w:rPr>
                <w:rFonts w:ascii="Arial"/>
                <w:sz w:val="21"/>
              </w:rPr>
            </w:pPr>
          </w:p>
        </w:tc>
        <w:tc>
          <w:tcPr>
            <w:tcW w:w="969" w:type="dxa"/>
            <w:vMerge w:val="continue"/>
            <w:tcBorders>
              <w:top w:val="nil"/>
            </w:tcBorders>
            <w:vAlign w:val="top"/>
          </w:tcPr>
          <w:p>
            <w:pPr>
              <w:spacing w:line="240" w:lineRule="auto"/>
              <w:rPr>
                <w:rFonts w:ascii="Arial"/>
                <w:sz w:val="21"/>
              </w:rPr>
            </w:pPr>
          </w:p>
        </w:tc>
        <w:tc>
          <w:tcPr>
            <w:tcW w:w="2618" w:type="dxa"/>
            <w:vAlign w:val="top"/>
          </w:tcPr>
          <w:p>
            <w:pPr>
              <w:pStyle w:val="6"/>
              <w:spacing w:before="230" w:line="240" w:lineRule="auto"/>
              <w:ind w:left="91" w:right="46" w:firstLine="90"/>
            </w:pPr>
            <w:r>
              <w:t>(3)临时入境机动车号牌和行</w:t>
            </w:r>
            <w:r>
              <w:rPr>
                <w:spacing w:val="3"/>
              </w:rPr>
              <w:t xml:space="preserve"> </w:t>
            </w:r>
            <w:r>
              <w:rPr>
                <w:spacing w:val="-2"/>
              </w:rPr>
              <w:t>驶证工本费</w:t>
            </w:r>
          </w:p>
        </w:tc>
        <w:tc>
          <w:tcPr>
            <w:tcW w:w="4588" w:type="dxa"/>
            <w:vAlign w:val="top"/>
          </w:tcPr>
          <w:p>
            <w:pPr>
              <w:spacing w:line="240" w:lineRule="auto"/>
              <w:rPr>
                <w:rFonts w:ascii="Arial"/>
                <w:sz w:val="21"/>
              </w:rPr>
            </w:pPr>
          </w:p>
          <w:p>
            <w:pPr>
              <w:pStyle w:val="6"/>
              <w:spacing w:before="62" w:line="240" w:lineRule="auto"/>
              <w:ind w:left="114"/>
            </w:pPr>
            <w:r>
              <w:rPr>
                <w:spacing w:val="-1"/>
              </w:rPr>
              <w:t>临时入境机动车号牌和行驶证10元/证。</w:t>
            </w:r>
          </w:p>
        </w:tc>
        <w:tc>
          <w:tcPr>
            <w:tcW w:w="4410" w:type="dxa"/>
            <w:vAlign w:val="top"/>
          </w:tcPr>
          <w:p>
            <w:pPr>
              <w:pStyle w:val="6"/>
              <w:spacing w:before="213" w:line="240" w:lineRule="auto"/>
              <w:ind w:left="136" w:hanging="119"/>
            </w:pPr>
            <w:r>
              <w:rPr>
                <w:spacing w:val="-2"/>
              </w:rPr>
              <w:t>财综〔2008〕36号，辽财非〔2008〕399</w:t>
            </w:r>
            <w:r>
              <w:rPr>
                <w:spacing w:val="-3"/>
              </w:rPr>
              <w:t>号，发</w:t>
            </w:r>
            <w:r>
              <w:rPr>
                <w:spacing w:val="-1"/>
              </w:rPr>
              <w:t>改价格〔2017〕1186号。</w:t>
            </w:r>
          </w:p>
        </w:tc>
        <w:tc>
          <w:tcPr>
            <w:tcW w:w="1020" w:type="dxa"/>
            <w:vAlign w:val="top"/>
          </w:tcPr>
          <w:p>
            <w:pPr>
              <w:spacing w:line="240" w:lineRule="auto"/>
              <w:rPr>
                <w:rFonts w:ascii="Arial"/>
                <w:sz w:val="21"/>
              </w:rPr>
            </w:pPr>
          </w:p>
          <w:p>
            <w:pPr>
              <w:pStyle w:val="6"/>
              <w:spacing w:before="61" w:line="240" w:lineRule="auto"/>
              <w:ind w:left="170"/>
            </w:pPr>
            <w:r>
              <w:rPr>
                <w:spacing w:val="4"/>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8" w:hRule="atLeast"/>
        </w:trPr>
        <w:tc>
          <w:tcPr>
            <w:tcW w:w="844" w:type="dxa"/>
            <w:vAlign w:val="top"/>
          </w:tcPr>
          <w:p>
            <w:pPr>
              <w:spacing w:line="240" w:lineRule="auto"/>
              <w:rPr>
                <w:rFonts w:ascii="Arial"/>
                <w:sz w:val="21"/>
              </w:rPr>
            </w:pPr>
          </w:p>
          <w:p>
            <w:pPr>
              <w:spacing w:line="240" w:lineRule="auto"/>
              <w:rPr>
                <w:rFonts w:ascii="Arial"/>
                <w:sz w:val="21"/>
              </w:rPr>
            </w:pPr>
          </w:p>
          <w:p>
            <w:pPr>
              <w:pStyle w:val="6"/>
              <w:spacing w:before="62" w:line="240" w:lineRule="auto"/>
              <w:ind w:left="314"/>
            </w:pPr>
            <w:r>
              <w:t>二</w:t>
            </w:r>
          </w:p>
        </w:tc>
        <w:tc>
          <w:tcPr>
            <w:tcW w:w="969" w:type="dxa"/>
            <w:vAlign w:val="top"/>
          </w:tcPr>
          <w:p>
            <w:pPr>
              <w:spacing w:line="240" w:lineRule="auto"/>
              <w:rPr>
                <w:rFonts w:ascii="Arial"/>
                <w:sz w:val="21"/>
              </w:rPr>
            </w:pPr>
          </w:p>
          <w:p>
            <w:pPr>
              <w:spacing w:line="240" w:lineRule="auto"/>
              <w:rPr>
                <w:rFonts w:ascii="Arial"/>
                <w:sz w:val="21"/>
              </w:rPr>
            </w:pPr>
          </w:p>
          <w:p>
            <w:pPr>
              <w:pStyle w:val="6"/>
              <w:spacing w:before="62" w:line="240" w:lineRule="auto"/>
              <w:ind w:left="280"/>
            </w:pPr>
            <w:r>
              <w:rPr>
                <w:spacing w:val="-3"/>
              </w:rPr>
              <w:t>法院</w:t>
            </w:r>
          </w:p>
        </w:tc>
        <w:tc>
          <w:tcPr>
            <w:tcW w:w="2618" w:type="dxa"/>
            <w:vAlign w:val="top"/>
          </w:tcPr>
          <w:p>
            <w:pPr>
              <w:spacing w:line="240" w:lineRule="auto"/>
              <w:rPr>
                <w:rFonts w:ascii="Arial"/>
                <w:sz w:val="21"/>
              </w:rPr>
            </w:pPr>
          </w:p>
          <w:p>
            <w:pPr>
              <w:spacing w:line="240" w:lineRule="auto"/>
              <w:rPr>
                <w:rFonts w:ascii="Arial"/>
                <w:sz w:val="21"/>
              </w:rPr>
            </w:pPr>
          </w:p>
          <w:p>
            <w:pPr>
              <w:pStyle w:val="6"/>
              <w:spacing w:before="62" w:line="240" w:lineRule="auto"/>
              <w:ind w:left="72"/>
            </w:pPr>
            <w:r>
              <w:rPr>
                <w:spacing w:val="2"/>
              </w:rPr>
              <w:t>2.诉讼费</w:t>
            </w:r>
          </w:p>
        </w:tc>
        <w:tc>
          <w:tcPr>
            <w:tcW w:w="4588" w:type="dxa"/>
            <w:vAlign w:val="top"/>
          </w:tcPr>
          <w:p>
            <w:pPr>
              <w:spacing w:line="240" w:lineRule="auto"/>
              <w:rPr>
                <w:rFonts w:ascii="Arial"/>
                <w:sz w:val="21"/>
              </w:rPr>
            </w:pPr>
          </w:p>
          <w:p>
            <w:pPr>
              <w:spacing w:line="240" w:lineRule="auto"/>
              <w:rPr>
                <w:rFonts w:ascii="Arial"/>
                <w:sz w:val="21"/>
              </w:rPr>
            </w:pPr>
          </w:p>
          <w:p>
            <w:pPr>
              <w:pStyle w:val="6"/>
              <w:spacing w:before="62" w:line="240" w:lineRule="auto"/>
              <w:ind w:left="124"/>
            </w:pPr>
            <w:r>
              <w:rPr>
                <w:spacing w:val="-1"/>
              </w:rPr>
              <w:t>按照《诉讼费用交纳办法》执行。</w:t>
            </w:r>
          </w:p>
        </w:tc>
        <w:tc>
          <w:tcPr>
            <w:tcW w:w="4410" w:type="dxa"/>
            <w:vAlign w:val="top"/>
          </w:tcPr>
          <w:p>
            <w:pPr>
              <w:pStyle w:val="6"/>
              <w:spacing w:before="259" w:line="240" w:lineRule="auto"/>
            </w:pPr>
            <w:r>
              <w:rPr>
                <w:spacing w:val="-10"/>
              </w:rPr>
              <w:t>《民事诉讼法》,《行政诉讼法》,财预〔</w:t>
            </w:r>
            <w:r>
              <w:rPr>
                <w:spacing w:val="-11"/>
              </w:rPr>
              <w:t>2002〕</w:t>
            </w:r>
            <w:r>
              <w:rPr>
                <w:spacing w:val="-4"/>
              </w:rPr>
              <w:t>9号，财行〔2003〕275号，《诉讼费用交纳办</w:t>
            </w:r>
            <w:r>
              <w:rPr>
                <w:spacing w:val="-1"/>
              </w:rPr>
              <w:t>法》(国务院令第481号),辽财预〔2002〕77号，辽财行〔2007〕852号。</w:t>
            </w:r>
          </w:p>
        </w:tc>
        <w:tc>
          <w:tcPr>
            <w:tcW w:w="1020" w:type="dxa"/>
            <w:vAlign w:val="top"/>
          </w:tcPr>
          <w:p>
            <w:pPr>
              <w:spacing w:line="240" w:lineRule="auto"/>
              <w:rPr>
                <w:rFonts w:ascii="Arial"/>
                <w:sz w:val="21"/>
              </w:rPr>
            </w:pPr>
          </w:p>
          <w:p>
            <w:pPr>
              <w:spacing w:line="240" w:lineRule="auto"/>
              <w:rPr>
                <w:rFonts w:ascii="Arial"/>
                <w:sz w:val="21"/>
              </w:rPr>
            </w:pPr>
          </w:p>
          <w:p>
            <w:pPr>
              <w:pStyle w:val="6"/>
              <w:spacing w:before="62" w:line="240" w:lineRule="auto"/>
              <w:ind w:left="170"/>
            </w:pPr>
            <w:r>
              <w:rPr>
                <w:spacing w:val="4"/>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5" w:hRule="atLeast"/>
        </w:trPr>
        <w:tc>
          <w:tcPr>
            <w:tcW w:w="844"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62" w:line="240" w:lineRule="auto"/>
              <w:ind w:left="314"/>
            </w:pPr>
            <w:r>
              <w:t>三</w:t>
            </w:r>
          </w:p>
        </w:tc>
        <w:tc>
          <w:tcPr>
            <w:tcW w:w="969"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61" w:line="240" w:lineRule="auto"/>
              <w:ind w:left="280"/>
            </w:pPr>
            <w:r>
              <w:rPr>
                <w:spacing w:val="-3"/>
              </w:rPr>
              <w:t>人防</w:t>
            </w:r>
          </w:p>
        </w:tc>
        <w:tc>
          <w:tcPr>
            <w:tcW w:w="2618"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61" w:line="240" w:lineRule="auto"/>
              <w:ind w:left="81"/>
            </w:pPr>
            <w:r>
              <w:t>3.防空地下室易地建设费</w:t>
            </w:r>
          </w:p>
        </w:tc>
        <w:tc>
          <w:tcPr>
            <w:tcW w:w="4588" w:type="dxa"/>
            <w:vAlign w:val="top"/>
          </w:tcPr>
          <w:p>
            <w:pPr>
              <w:pStyle w:val="6"/>
              <w:spacing w:before="44" w:line="240" w:lineRule="auto"/>
              <w:ind w:left="43" w:firstLine="344" w:firstLineChars="200"/>
              <w:jc w:val="left"/>
            </w:pPr>
            <w:r>
              <w:rPr>
                <w:spacing w:val="-9"/>
              </w:rPr>
              <w:t>沈价发〔2010〕62号规定：按应建防空地下室建筑</w:t>
            </w:r>
            <w:r>
              <w:rPr>
                <w:spacing w:val="-3"/>
              </w:rPr>
              <w:t>面积：县级市和县1000元/平方米，其它地区2000</w:t>
            </w:r>
            <w:r>
              <w:rPr>
                <w:spacing w:val="-6"/>
              </w:rPr>
              <w:t>元/平方米。九层以下民用建筑不建防空地下室的，按地面总建筑面积缴纳；县级市及县20元/平方米，</w:t>
            </w:r>
            <w:r>
              <w:rPr>
                <w:spacing w:val="-1"/>
              </w:rPr>
              <w:t>其它地区40元/平方米。</w:t>
            </w:r>
          </w:p>
          <w:p>
            <w:pPr>
              <w:pStyle w:val="6"/>
              <w:spacing w:before="1" w:line="240" w:lineRule="auto"/>
              <w:ind w:right="44" w:firstLine="380" w:firstLineChars="200"/>
              <w:jc w:val="left"/>
            </w:pPr>
            <w:r>
              <w:t>辽价发〔2018〕55号、沈发改发〔2018〕141号规</w:t>
            </w:r>
            <w:r>
              <w:rPr>
                <w:spacing w:val="-1"/>
              </w:rPr>
              <w:t>定：自2018年10月1日起，将人防工程易地建设费缴纳标准在原有标准的基础上降低15%。</w:t>
            </w:r>
          </w:p>
        </w:tc>
        <w:tc>
          <w:tcPr>
            <w:tcW w:w="4410" w:type="dxa"/>
            <w:vAlign w:val="top"/>
          </w:tcPr>
          <w:p>
            <w:pPr>
              <w:pStyle w:val="6"/>
              <w:spacing w:before="32" w:line="240" w:lineRule="auto"/>
              <w:ind w:left="175" w:right="67" w:hanging="89"/>
            </w:pPr>
            <w:r>
              <w:rPr>
                <w:spacing w:val="-4"/>
              </w:rPr>
              <w:t>国动字〔1998〕2号，国动字〔1999〕1号，计</w:t>
            </w:r>
            <w:r>
              <w:rPr>
                <w:spacing w:val="-1"/>
              </w:rPr>
              <w:t>价格〔2000〕474号，中发〔2001〕9号，财预〔2002〕584号，国发〔2008〕4号，发改价格</w:t>
            </w:r>
            <w:r>
              <w:rPr>
                <w:spacing w:val="2"/>
              </w:rPr>
              <w:t>〔2017〕799号，辽人发〔2000〕19号，辽价</w:t>
            </w:r>
            <w:r>
              <w:rPr>
                <w:spacing w:val="4"/>
              </w:rPr>
              <w:t>发(2001)72号，省政府令第49号，辽财预</w:t>
            </w:r>
            <w:r>
              <w:rPr>
                <w:spacing w:val="2"/>
              </w:rPr>
              <w:t>2002〕632号，辽财非〔2010〕1127号，辽</w:t>
            </w:r>
            <w:r>
              <w:rPr>
                <w:spacing w:val="-4"/>
              </w:rPr>
              <w:t>财非函〔2013〕256号，辽财非函〔2015〕267</w:t>
            </w:r>
            <w:r>
              <w:rPr>
                <w:spacing w:val="-9"/>
              </w:rPr>
              <w:t>号，辽价发(2018)55号。按国办发明电〔1</w:t>
            </w:r>
            <w:r>
              <w:rPr>
                <w:spacing w:val="-10"/>
              </w:rPr>
              <w:t>998〕</w:t>
            </w:r>
            <w:r>
              <w:rPr>
                <w:sz w:val="18"/>
                <w:szCs w:val="18"/>
              </w:rPr>
              <w:t>9号，免征本地区、国务院有关部门规定征收的</w:t>
            </w:r>
            <w:r>
              <w:rPr>
                <w:spacing w:val="-1"/>
                <w:sz w:val="18"/>
                <w:szCs w:val="18"/>
              </w:rPr>
              <w:t>各种与粮库建设相关的税费(此项适用于1998年至1999年夏</w:t>
            </w:r>
          </w:p>
        </w:tc>
        <w:tc>
          <w:tcPr>
            <w:tcW w:w="1020"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61" w:line="240" w:lineRule="auto"/>
              <w:ind w:left="170"/>
            </w:pPr>
            <w:r>
              <w:rPr>
                <w:spacing w:val="4"/>
              </w:rPr>
              <w:t>中央</w:t>
            </w:r>
          </w:p>
        </w:tc>
      </w:tr>
    </w:tbl>
    <w:p>
      <w:pPr>
        <w:spacing w:line="240" w:lineRule="auto"/>
        <w:rPr>
          <w:rFonts w:ascii="Arial"/>
          <w:sz w:val="21"/>
        </w:rPr>
      </w:pPr>
    </w:p>
    <w:p>
      <w:pPr>
        <w:pStyle w:val="2"/>
        <w:spacing w:before="97" w:line="240" w:lineRule="auto"/>
        <w:ind w:left="12885"/>
        <w:rPr>
          <w:sz w:val="30"/>
          <w:szCs w:val="30"/>
        </w:rPr>
      </w:pPr>
      <w:r>
        <w:rPr>
          <w:spacing w:val="-4"/>
          <w:sz w:val="30"/>
          <w:szCs w:val="30"/>
        </w:rPr>
        <w:t>—3—</w:t>
      </w:r>
    </w:p>
    <w:p>
      <w:pPr>
        <w:spacing w:line="240" w:lineRule="auto"/>
        <w:rPr>
          <w:sz w:val="30"/>
          <w:szCs w:val="30"/>
        </w:rPr>
        <w:sectPr>
          <w:footerReference r:id="rId3" w:type="default"/>
          <w:pgSz w:w="16760" w:h="11940"/>
          <w:pgMar w:top="1014" w:right="715" w:bottom="400" w:left="925" w:header="0" w:footer="0" w:gutter="0"/>
          <w:cols w:space="720" w:num="1"/>
        </w:sectPr>
      </w:pPr>
    </w:p>
    <w:p>
      <w:pPr>
        <w:spacing w:before="54" w:line="240" w:lineRule="auto"/>
      </w:pPr>
    </w:p>
    <w:p>
      <w:pPr>
        <w:spacing w:before="54" w:line="240" w:lineRule="auto"/>
      </w:pPr>
    </w:p>
    <w:tbl>
      <w:tblPr>
        <w:tblStyle w:val="7"/>
        <w:tblW w:w="14445" w:type="dxa"/>
        <w:tblInd w:w="1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990"/>
        <w:gridCol w:w="2610"/>
        <w:gridCol w:w="4575"/>
        <w:gridCol w:w="4410"/>
        <w:gridCol w:w="10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3" w:hRule="atLeast"/>
        </w:trPr>
        <w:tc>
          <w:tcPr>
            <w:tcW w:w="840" w:type="dxa"/>
            <w:vAlign w:val="top"/>
          </w:tcPr>
          <w:p>
            <w:pPr>
              <w:spacing w:line="240" w:lineRule="auto"/>
              <w:rPr>
                <w:rFonts w:ascii="Arial"/>
                <w:sz w:val="21"/>
              </w:rPr>
            </w:pPr>
          </w:p>
        </w:tc>
        <w:tc>
          <w:tcPr>
            <w:tcW w:w="990" w:type="dxa"/>
            <w:vAlign w:val="top"/>
          </w:tcPr>
          <w:p>
            <w:pPr>
              <w:spacing w:line="240" w:lineRule="auto"/>
              <w:rPr>
                <w:rFonts w:ascii="Arial"/>
                <w:sz w:val="21"/>
              </w:rPr>
            </w:pPr>
          </w:p>
        </w:tc>
        <w:tc>
          <w:tcPr>
            <w:tcW w:w="2610" w:type="dxa"/>
            <w:vAlign w:val="top"/>
          </w:tcPr>
          <w:p>
            <w:pPr>
              <w:spacing w:line="240" w:lineRule="auto"/>
              <w:rPr>
                <w:rFonts w:ascii="Arial"/>
                <w:sz w:val="21"/>
              </w:rPr>
            </w:pPr>
          </w:p>
        </w:tc>
        <w:tc>
          <w:tcPr>
            <w:tcW w:w="457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58" w:line="240" w:lineRule="auto"/>
              <w:ind w:right="95"/>
              <w:jc w:val="both"/>
              <w:rPr>
                <w:sz w:val="18"/>
                <w:szCs w:val="18"/>
              </w:rPr>
            </w:pPr>
            <w:r>
              <w:rPr>
                <w:sz w:val="18"/>
                <w:szCs w:val="18"/>
              </w:rPr>
              <w:t>以下新建民用建筑项目应适当减免：①享受政府优惠政策建设的廉租房、经济适用房等居民住房，新建幼儿园、学校教学楼、养老院及为残疾人修建的</w:t>
            </w:r>
            <w:r>
              <w:rPr>
                <w:spacing w:val="-1"/>
                <w:sz w:val="18"/>
                <w:szCs w:val="18"/>
              </w:rPr>
              <w:t>生活服务设施等民用建筑减半收取。②临时民用建</w:t>
            </w:r>
            <w:r>
              <w:rPr>
                <w:sz w:val="18"/>
                <w:szCs w:val="18"/>
              </w:rPr>
              <w:t>筑和不增加面积的危房翻新改造商品住宅项目，因</w:t>
            </w:r>
            <w:r>
              <w:rPr>
                <w:spacing w:val="-1"/>
                <w:sz w:val="18"/>
                <w:szCs w:val="18"/>
              </w:rPr>
              <w:t>遭受水灾、火灾或其它不可抗拒的灾害造成损坏后</w:t>
            </w:r>
            <w:r>
              <w:rPr>
                <w:sz w:val="18"/>
                <w:szCs w:val="18"/>
              </w:rPr>
              <w:t>按原面积修复的民用建筑免收。</w:t>
            </w:r>
          </w:p>
        </w:tc>
        <w:tc>
          <w:tcPr>
            <w:tcW w:w="4410" w:type="dxa"/>
            <w:vAlign w:val="top"/>
          </w:tcPr>
          <w:p>
            <w:pPr>
              <w:pStyle w:val="6"/>
              <w:spacing w:before="17" w:line="240" w:lineRule="auto"/>
              <w:ind w:left="126" w:right="40"/>
              <w:rPr>
                <w:sz w:val="18"/>
                <w:szCs w:val="18"/>
              </w:rPr>
            </w:pPr>
            <w:r>
              <w:rPr>
                <w:spacing w:val="-1"/>
                <w:sz w:val="18"/>
                <w:szCs w:val="18"/>
              </w:rPr>
              <w:t>收之前确定的中央直属储备粮库建设项目)。辽政办发〔2017〕100号，“物流仓储设施属于生产性建筑，不列入结合民用建</w:t>
            </w:r>
            <w:r>
              <w:rPr>
                <w:spacing w:val="4"/>
                <w:sz w:val="18"/>
                <w:szCs w:val="18"/>
              </w:rPr>
              <w:t>筑修建防空地下室范畴”。按国办发〔2013〕</w:t>
            </w:r>
            <w:r>
              <w:rPr>
                <w:spacing w:val="2"/>
                <w:sz w:val="18"/>
                <w:szCs w:val="18"/>
              </w:rPr>
              <w:t>103号、财综〔2010〕57号，对中小学校“校</w:t>
            </w:r>
            <w:r>
              <w:rPr>
                <w:spacing w:val="-1"/>
                <w:sz w:val="18"/>
                <w:szCs w:val="18"/>
              </w:rPr>
              <w:t>舍安全工程”免征。按财税〔2014〕77号，对非营利性养老和医疗机构免征；对营利性养老</w:t>
            </w:r>
            <w:r>
              <w:rPr>
                <w:spacing w:val="2"/>
                <w:sz w:val="18"/>
                <w:szCs w:val="18"/>
              </w:rPr>
              <w:t>和医疗机构减半征收。按财税〔2019〕53号，</w:t>
            </w:r>
            <w:r>
              <w:rPr>
                <w:spacing w:val="-4"/>
                <w:sz w:val="18"/>
                <w:szCs w:val="18"/>
              </w:rPr>
              <w:t>对确因地质条件等原因无法修建防空地下室的易地扶贫搬迁项目免征。按公告〔2019〕76号，对用于提供社区养老、托育、家政服务的建设</w:t>
            </w:r>
            <w:r>
              <w:rPr>
                <w:spacing w:val="-7"/>
                <w:sz w:val="18"/>
                <w:szCs w:val="18"/>
              </w:rPr>
              <w:t>项目免征。按财税〔2020〕58号，辽财税〔202</w:t>
            </w:r>
            <w:r>
              <w:rPr>
                <w:spacing w:val="-8"/>
                <w:sz w:val="18"/>
                <w:szCs w:val="18"/>
              </w:rPr>
              <w:t>0〕</w:t>
            </w:r>
            <w:r>
              <w:rPr>
                <w:spacing w:val="1"/>
                <w:sz w:val="18"/>
                <w:szCs w:val="18"/>
              </w:rPr>
              <w:t>383号，2021年1月1日起，划转至</w:t>
            </w:r>
            <w:r>
              <w:rPr>
                <w:sz w:val="18"/>
                <w:szCs w:val="18"/>
              </w:rPr>
              <w:t>税务部门</w:t>
            </w:r>
            <w:r>
              <w:rPr>
                <w:spacing w:val="-1"/>
                <w:sz w:val="18"/>
                <w:szCs w:val="18"/>
              </w:rPr>
              <w:t>征收。按财政部税务总局住房城乡建设部公</w:t>
            </w:r>
            <w:r>
              <w:rPr>
                <w:sz w:val="18"/>
                <w:szCs w:val="18"/>
              </w:rPr>
              <w:t>告2023年第70号，对保障性住房项目免收。</w:t>
            </w:r>
          </w:p>
        </w:tc>
        <w:tc>
          <w:tcPr>
            <w:tcW w:w="1020" w:type="dxa"/>
            <w:vAlign w:val="top"/>
          </w:tcPr>
          <w:p>
            <w:pPr>
              <w:spacing w:line="240" w:lineRule="auto"/>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40" w:type="dxa"/>
            <w:vAlign w:val="top"/>
          </w:tcPr>
          <w:p>
            <w:pPr>
              <w:pStyle w:val="6"/>
              <w:spacing w:before="295" w:line="240" w:lineRule="auto"/>
              <w:ind w:left="324"/>
              <w:rPr>
                <w:sz w:val="18"/>
                <w:szCs w:val="18"/>
              </w:rPr>
            </w:pPr>
            <w:r>
              <w:rPr>
                <w:sz w:val="18"/>
                <w:szCs w:val="18"/>
              </w:rPr>
              <w:t>四</w:t>
            </w:r>
          </w:p>
        </w:tc>
        <w:tc>
          <w:tcPr>
            <w:tcW w:w="990" w:type="dxa"/>
            <w:vAlign w:val="top"/>
          </w:tcPr>
          <w:p>
            <w:pPr>
              <w:pStyle w:val="6"/>
              <w:spacing w:before="292" w:line="240" w:lineRule="auto"/>
              <w:ind w:left="289"/>
              <w:rPr>
                <w:sz w:val="18"/>
                <w:szCs w:val="18"/>
              </w:rPr>
            </w:pPr>
            <w:r>
              <w:rPr>
                <w:spacing w:val="-2"/>
                <w:sz w:val="18"/>
                <w:szCs w:val="18"/>
              </w:rPr>
              <w:t>仲裁</w:t>
            </w:r>
          </w:p>
        </w:tc>
        <w:tc>
          <w:tcPr>
            <w:tcW w:w="2610" w:type="dxa"/>
            <w:vAlign w:val="top"/>
          </w:tcPr>
          <w:p>
            <w:pPr>
              <w:pStyle w:val="6"/>
              <w:spacing w:before="292" w:line="240" w:lineRule="auto"/>
              <w:ind w:left="120"/>
              <w:rPr>
                <w:sz w:val="18"/>
                <w:szCs w:val="18"/>
              </w:rPr>
            </w:pPr>
            <w:r>
              <w:rPr>
                <w:spacing w:val="-2"/>
                <w:sz w:val="18"/>
                <w:szCs w:val="18"/>
              </w:rPr>
              <w:t>4.仲裁收费</w:t>
            </w:r>
          </w:p>
        </w:tc>
        <w:tc>
          <w:tcPr>
            <w:tcW w:w="4575" w:type="dxa"/>
            <w:vAlign w:val="top"/>
          </w:tcPr>
          <w:p>
            <w:pPr>
              <w:pStyle w:val="6"/>
              <w:spacing w:before="292" w:line="240" w:lineRule="auto"/>
              <w:ind w:left="122"/>
              <w:rPr>
                <w:sz w:val="18"/>
                <w:szCs w:val="18"/>
              </w:rPr>
            </w:pPr>
            <w:r>
              <w:rPr>
                <w:spacing w:val="3"/>
                <w:sz w:val="18"/>
                <w:szCs w:val="18"/>
              </w:rPr>
              <w:t>按国办发〔1995〕44号文件规定标准执行</w:t>
            </w:r>
            <w:r>
              <w:rPr>
                <w:rFonts w:hint="eastAsia"/>
                <w:spacing w:val="3"/>
                <w:sz w:val="18"/>
                <w:szCs w:val="18"/>
                <w:lang w:eastAsia="zh-CN"/>
              </w:rPr>
              <w:t>。</w:t>
            </w:r>
          </w:p>
        </w:tc>
        <w:tc>
          <w:tcPr>
            <w:tcW w:w="4410" w:type="dxa"/>
            <w:vAlign w:val="top"/>
          </w:tcPr>
          <w:p>
            <w:pPr>
              <w:pStyle w:val="6"/>
              <w:spacing w:before="173" w:line="240" w:lineRule="auto"/>
              <w:ind w:left="126" w:right="122"/>
              <w:rPr>
                <w:sz w:val="18"/>
                <w:szCs w:val="18"/>
              </w:rPr>
            </w:pPr>
            <w:r>
              <w:rPr>
                <w:sz w:val="18"/>
                <w:szCs w:val="18"/>
              </w:rPr>
              <w:t>国办发〔1995〕44号，财综〔2010〕19号，辽</w:t>
            </w:r>
            <w:r>
              <w:rPr>
                <w:spacing w:val="-1"/>
                <w:sz w:val="18"/>
                <w:szCs w:val="18"/>
              </w:rPr>
              <w:t>财非〔2010〕985号。</w:t>
            </w:r>
          </w:p>
        </w:tc>
        <w:tc>
          <w:tcPr>
            <w:tcW w:w="1020" w:type="dxa"/>
            <w:vAlign w:val="top"/>
          </w:tcPr>
          <w:p>
            <w:pPr>
              <w:pStyle w:val="6"/>
              <w:spacing w:before="292" w:line="240" w:lineRule="auto"/>
              <w:ind w:left="169"/>
              <w:rPr>
                <w:sz w:val="18"/>
                <w:szCs w:val="18"/>
              </w:rPr>
            </w:pPr>
            <w:r>
              <w:rPr>
                <w:spacing w:val="3"/>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0" w:hRule="atLeast"/>
        </w:trPr>
        <w:tc>
          <w:tcPr>
            <w:tcW w:w="840" w:type="dxa"/>
            <w:vMerge w:val="restart"/>
            <w:tcBorders>
              <w:bottom w:val="nil"/>
            </w:tcBorders>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58" w:line="240" w:lineRule="auto"/>
              <w:ind w:firstLine="360" w:firstLineChars="200"/>
              <w:rPr>
                <w:sz w:val="18"/>
                <w:szCs w:val="18"/>
              </w:rPr>
            </w:pPr>
            <w:r>
              <w:rPr>
                <w:sz w:val="18"/>
                <w:szCs w:val="18"/>
              </w:rPr>
              <w:t>五</w:t>
            </w:r>
          </w:p>
        </w:tc>
        <w:tc>
          <w:tcPr>
            <w:tcW w:w="990" w:type="dxa"/>
            <w:vMerge w:val="restart"/>
            <w:tcBorders>
              <w:bottom w:val="nil"/>
            </w:tcBorders>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59" w:line="240" w:lineRule="auto"/>
              <w:ind w:firstLine="182" w:firstLineChars="100"/>
              <w:rPr>
                <w:sz w:val="18"/>
                <w:szCs w:val="18"/>
              </w:rPr>
            </w:pPr>
            <w:r>
              <w:rPr>
                <w:spacing w:val="1"/>
                <w:sz w:val="18"/>
                <w:szCs w:val="18"/>
              </w:rPr>
              <w:t>自然资源</w:t>
            </w:r>
          </w:p>
        </w:tc>
        <w:tc>
          <w:tcPr>
            <w:tcW w:w="2610"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59" w:line="240" w:lineRule="auto"/>
              <w:ind w:left="120"/>
              <w:rPr>
                <w:sz w:val="18"/>
                <w:szCs w:val="18"/>
              </w:rPr>
            </w:pPr>
            <w:r>
              <w:rPr>
                <w:spacing w:val="1"/>
                <w:sz w:val="18"/>
                <w:szCs w:val="18"/>
              </w:rPr>
              <w:t>5.耕地开垦费</w:t>
            </w:r>
          </w:p>
        </w:tc>
        <w:tc>
          <w:tcPr>
            <w:tcW w:w="4575" w:type="dxa"/>
            <w:vAlign w:val="top"/>
          </w:tcPr>
          <w:p>
            <w:pPr>
              <w:pStyle w:val="6"/>
              <w:spacing w:before="58" w:line="240" w:lineRule="auto"/>
              <w:rPr>
                <w:spacing w:val="-13"/>
                <w:sz w:val="18"/>
                <w:szCs w:val="18"/>
              </w:rPr>
            </w:pPr>
          </w:p>
          <w:p>
            <w:pPr>
              <w:pStyle w:val="6"/>
              <w:spacing w:before="58" w:line="240" w:lineRule="auto"/>
              <w:rPr>
                <w:sz w:val="18"/>
                <w:szCs w:val="18"/>
              </w:rPr>
            </w:pPr>
            <w:r>
              <w:rPr>
                <w:spacing w:val="-13"/>
                <w:sz w:val="18"/>
                <w:szCs w:val="18"/>
              </w:rPr>
              <w:t>《土地管理法》第三十条：“非农业建设经批准占</w:t>
            </w:r>
            <w:r>
              <w:rPr>
                <w:sz w:val="18"/>
                <w:szCs w:val="18"/>
              </w:rPr>
              <w:t>用耕地的，按照“占多少，垦多少”的原则，由占</w:t>
            </w:r>
            <w:r>
              <w:rPr>
                <w:spacing w:val="-2"/>
                <w:sz w:val="18"/>
                <w:szCs w:val="18"/>
              </w:rPr>
              <w:t>用耕地的单位负责开垦与所占用耕地的数量和质量相当的耕地；没有条件开垦或者开垦的耕地不符合要求的，应当按照省、自治区、直辖市的规定缴纳耕地开垦费，专款用于开垦新的耕地。”具体征收</w:t>
            </w:r>
            <w:r>
              <w:rPr>
                <w:spacing w:val="1"/>
                <w:sz w:val="18"/>
                <w:szCs w:val="18"/>
              </w:rPr>
              <w:t>标准及要求按照辽政办〔2020〕15号文件</w:t>
            </w:r>
            <w:r>
              <w:rPr>
                <w:sz w:val="18"/>
                <w:szCs w:val="18"/>
              </w:rPr>
              <w:t>(自2020</w:t>
            </w:r>
            <w:r>
              <w:rPr>
                <w:spacing w:val="-1"/>
                <w:sz w:val="18"/>
                <w:szCs w:val="18"/>
              </w:rPr>
              <w:t>年6月1日起实施)规定执行。</w:t>
            </w:r>
          </w:p>
        </w:tc>
        <w:tc>
          <w:tcPr>
            <w:tcW w:w="4410" w:type="dxa"/>
            <w:vAlign w:val="top"/>
          </w:tcPr>
          <w:p>
            <w:pPr>
              <w:pStyle w:val="6"/>
              <w:spacing w:before="59" w:line="240" w:lineRule="auto"/>
              <w:jc w:val="both"/>
              <w:rPr>
                <w:spacing w:val="-1"/>
                <w:sz w:val="18"/>
                <w:szCs w:val="18"/>
              </w:rPr>
            </w:pPr>
          </w:p>
          <w:p>
            <w:pPr>
              <w:pStyle w:val="6"/>
              <w:spacing w:before="59" w:line="240" w:lineRule="auto"/>
              <w:jc w:val="both"/>
              <w:rPr>
                <w:sz w:val="18"/>
                <w:szCs w:val="18"/>
              </w:rPr>
            </w:pPr>
            <w:r>
              <w:rPr>
                <w:spacing w:val="-1"/>
                <w:sz w:val="18"/>
                <w:szCs w:val="18"/>
              </w:rPr>
              <w:t>《土地管理法》,辽政发〔2000〕48号，辽政办〔2020〕15号。按财综〔2010〕57号，</w:t>
            </w:r>
            <w:r>
              <w:rPr>
                <w:spacing w:val="-2"/>
                <w:sz w:val="18"/>
                <w:szCs w:val="18"/>
              </w:rPr>
              <w:t>对中</w:t>
            </w:r>
            <w:r>
              <w:rPr>
                <w:spacing w:val="1"/>
                <w:sz w:val="18"/>
                <w:szCs w:val="18"/>
              </w:rPr>
              <w:t>小学校“校舍安全工程”免收。按财税〔2014〕</w:t>
            </w:r>
            <w:r>
              <w:rPr>
                <w:spacing w:val="2"/>
                <w:sz w:val="18"/>
                <w:szCs w:val="18"/>
              </w:rPr>
              <w:t>77号，对非营利性养老和医疗机构免征；对营</w:t>
            </w:r>
            <w:r>
              <w:rPr>
                <w:spacing w:val="1"/>
                <w:sz w:val="18"/>
                <w:szCs w:val="18"/>
              </w:rPr>
              <w:t>利性养老和医疗机构减半征收。按公告〔2019〕</w:t>
            </w:r>
            <w:r>
              <w:rPr>
                <w:spacing w:val="-1"/>
                <w:sz w:val="18"/>
                <w:szCs w:val="18"/>
              </w:rPr>
              <w:t>76号，对用于提供社区养老、托育、家政服务</w:t>
            </w:r>
            <w:r>
              <w:rPr>
                <w:sz w:val="18"/>
                <w:szCs w:val="18"/>
              </w:rPr>
              <w:t>的土地免征。</w:t>
            </w:r>
          </w:p>
        </w:tc>
        <w:tc>
          <w:tcPr>
            <w:tcW w:w="1020"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58" w:line="240" w:lineRule="auto"/>
              <w:ind w:left="169"/>
              <w:rPr>
                <w:sz w:val="18"/>
                <w:szCs w:val="18"/>
              </w:rPr>
            </w:pPr>
            <w:r>
              <w:rPr>
                <w:spacing w:val="3"/>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3" w:hRule="atLeast"/>
        </w:trPr>
        <w:tc>
          <w:tcPr>
            <w:tcW w:w="840" w:type="dxa"/>
            <w:vMerge w:val="continue"/>
            <w:tcBorders>
              <w:top w:val="nil"/>
            </w:tcBorders>
            <w:vAlign w:val="top"/>
          </w:tcPr>
          <w:p>
            <w:pPr>
              <w:spacing w:line="240" w:lineRule="auto"/>
              <w:rPr>
                <w:rFonts w:ascii="Arial"/>
                <w:sz w:val="21"/>
              </w:rPr>
            </w:pPr>
          </w:p>
        </w:tc>
        <w:tc>
          <w:tcPr>
            <w:tcW w:w="990" w:type="dxa"/>
            <w:vMerge w:val="continue"/>
            <w:tcBorders>
              <w:top w:val="nil"/>
            </w:tcBorders>
            <w:vAlign w:val="top"/>
          </w:tcPr>
          <w:p>
            <w:pPr>
              <w:spacing w:line="240" w:lineRule="auto"/>
              <w:rPr>
                <w:rFonts w:ascii="Arial"/>
                <w:sz w:val="21"/>
              </w:rPr>
            </w:pPr>
          </w:p>
        </w:tc>
        <w:tc>
          <w:tcPr>
            <w:tcW w:w="2610" w:type="dxa"/>
            <w:vAlign w:val="top"/>
          </w:tcPr>
          <w:p>
            <w:pPr>
              <w:spacing w:line="240" w:lineRule="auto"/>
              <w:rPr>
                <w:rFonts w:ascii="Arial"/>
                <w:sz w:val="21"/>
              </w:rPr>
            </w:pPr>
          </w:p>
          <w:p>
            <w:pPr>
              <w:pStyle w:val="6"/>
              <w:spacing w:before="58" w:line="240" w:lineRule="auto"/>
              <w:ind w:left="120" w:right="54"/>
              <w:rPr>
                <w:sz w:val="18"/>
                <w:szCs w:val="18"/>
              </w:rPr>
            </w:pPr>
            <w:r>
              <w:rPr>
                <w:sz w:val="18"/>
                <w:szCs w:val="18"/>
              </w:rPr>
              <w:t>6.土地复垦费(取消对农民建房</w:t>
            </w:r>
            <w:r>
              <w:rPr>
                <w:spacing w:val="4"/>
                <w:sz w:val="18"/>
                <w:szCs w:val="18"/>
              </w:rPr>
              <w:t>用地的土地复垦费)</w:t>
            </w:r>
          </w:p>
        </w:tc>
        <w:tc>
          <w:tcPr>
            <w:tcW w:w="4575" w:type="dxa"/>
            <w:vAlign w:val="top"/>
          </w:tcPr>
          <w:p>
            <w:pPr>
              <w:pStyle w:val="6"/>
              <w:spacing w:before="266" w:line="240" w:lineRule="auto"/>
              <w:ind w:left="112" w:right="120"/>
              <w:jc w:val="both"/>
              <w:rPr>
                <w:sz w:val="18"/>
                <w:szCs w:val="18"/>
              </w:rPr>
            </w:pPr>
            <w:r>
              <w:rPr>
                <w:spacing w:val="-1"/>
                <w:sz w:val="18"/>
                <w:szCs w:val="18"/>
              </w:rPr>
              <w:t>对因挖损、塌陷、占压等造成土地破坏，又没有条件复垦或复垦不符合要求的单位和个人征收，每平</w:t>
            </w:r>
            <w:r>
              <w:rPr>
                <w:spacing w:val="1"/>
                <w:sz w:val="18"/>
                <w:szCs w:val="18"/>
              </w:rPr>
              <w:t>方米10元。</w:t>
            </w:r>
          </w:p>
        </w:tc>
        <w:tc>
          <w:tcPr>
            <w:tcW w:w="4410" w:type="dxa"/>
            <w:vAlign w:val="top"/>
          </w:tcPr>
          <w:p>
            <w:pPr>
              <w:pStyle w:val="6"/>
              <w:spacing w:before="33" w:line="240" w:lineRule="auto"/>
              <w:ind w:left="125"/>
              <w:rPr>
                <w:spacing w:val="-1"/>
                <w:sz w:val="18"/>
                <w:szCs w:val="18"/>
              </w:rPr>
            </w:pPr>
          </w:p>
          <w:p>
            <w:pPr>
              <w:pStyle w:val="6"/>
              <w:spacing w:before="33" w:line="240" w:lineRule="auto"/>
              <w:ind w:left="125"/>
              <w:rPr>
                <w:sz w:val="18"/>
                <w:szCs w:val="18"/>
              </w:rPr>
            </w:pPr>
            <w:r>
              <w:rPr>
                <w:spacing w:val="-1"/>
                <w:sz w:val="18"/>
                <w:szCs w:val="18"/>
              </w:rPr>
              <w:t>《土地管理法》,辽政发〔2000〕48号。按财</w:t>
            </w:r>
            <w:r>
              <w:rPr>
                <w:spacing w:val="1"/>
                <w:sz w:val="18"/>
                <w:szCs w:val="18"/>
              </w:rPr>
              <w:t>综〔2010〕57号，对中小学校“校舍安全工程”</w:t>
            </w:r>
            <w:r>
              <w:rPr>
                <w:spacing w:val="-1"/>
                <w:sz w:val="18"/>
                <w:szCs w:val="18"/>
              </w:rPr>
              <w:t>免收。按财税〔2014〕77号，对非营利性养老和医疗机构免征；对营利性养老和医疗机构减半征收。按公告〔2019〕76号，对用于提供社</w:t>
            </w:r>
            <w:r>
              <w:rPr>
                <w:spacing w:val="-1"/>
              </w:rPr>
              <w:t>区养老、托育、家政服务的土地免征。</w:t>
            </w:r>
          </w:p>
        </w:tc>
        <w:tc>
          <w:tcPr>
            <w:tcW w:w="1020" w:type="dxa"/>
            <w:vAlign w:val="top"/>
          </w:tcPr>
          <w:p>
            <w:pPr>
              <w:spacing w:line="240" w:lineRule="auto"/>
              <w:rPr>
                <w:rFonts w:ascii="Arial"/>
                <w:sz w:val="21"/>
              </w:rPr>
            </w:pPr>
          </w:p>
          <w:p>
            <w:pPr>
              <w:pStyle w:val="6"/>
              <w:spacing w:before="59" w:line="240" w:lineRule="auto"/>
              <w:ind w:left="169"/>
              <w:rPr>
                <w:sz w:val="18"/>
                <w:szCs w:val="18"/>
              </w:rPr>
            </w:pPr>
            <w:r>
              <w:rPr>
                <w:spacing w:val="3"/>
                <w:sz w:val="18"/>
                <w:szCs w:val="18"/>
              </w:rPr>
              <w:t>中央</w:t>
            </w:r>
          </w:p>
        </w:tc>
      </w:tr>
    </w:tbl>
    <w:p>
      <w:pPr>
        <w:pStyle w:val="2"/>
        <w:wordWrap w:val="0"/>
        <w:spacing w:before="120" w:line="240" w:lineRule="auto"/>
        <w:ind w:left="1164"/>
        <w:jc w:val="right"/>
        <w:rPr>
          <w:spacing w:val="-4"/>
          <w:sz w:val="32"/>
          <w:szCs w:val="32"/>
        </w:rPr>
      </w:pPr>
    </w:p>
    <w:p>
      <w:pPr>
        <w:pStyle w:val="2"/>
        <w:wordWrap w:val="0"/>
        <w:spacing w:before="120" w:line="240" w:lineRule="auto"/>
        <w:ind w:left="1164"/>
        <w:jc w:val="right"/>
        <w:rPr>
          <w:rFonts w:hint="default" w:eastAsia="宋体"/>
          <w:sz w:val="32"/>
          <w:szCs w:val="32"/>
          <w:lang w:val="en-US" w:eastAsia="zh-CN"/>
        </w:rPr>
      </w:pPr>
      <w:r>
        <w:rPr>
          <w:spacing w:val="-4"/>
          <w:sz w:val="32"/>
          <w:szCs w:val="32"/>
        </w:rPr>
        <w:t>—4—</w:t>
      </w:r>
      <w:r>
        <w:rPr>
          <w:rFonts w:hint="eastAsia"/>
          <w:spacing w:val="-4"/>
          <w:sz w:val="32"/>
          <w:szCs w:val="32"/>
          <w:lang w:val="en-US" w:eastAsia="zh-CN"/>
        </w:rPr>
        <w:t xml:space="preserve">          </w:t>
      </w:r>
    </w:p>
    <w:p>
      <w:pPr>
        <w:spacing w:line="240" w:lineRule="auto"/>
        <w:rPr>
          <w:rFonts w:hint="default" w:eastAsiaTheme="minorEastAsia"/>
          <w:sz w:val="32"/>
          <w:szCs w:val="32"/>
          <w:lang w:val="en-US" w:eastAsia="zh-CN"/>
        </w:rPr>
        <w:sectPr>
          <w:pgSz w:w="16740" w:h="11920"/>
          <w:pgMar w:top="1013" w:right="664" w:bottom="400" w:left="955" w:header="0" w:footer="0" w:gutter="0"/>
          <w:cols w:space="720" w:num="1"/>
        </w:sectPr>
      </w:pPr>
      <w:r>
        <w:rPr>
          <w:rFonts w:hint="eastAsia"/>
          <w:sz w:val="32"/>
          <w:szCs w:val="32"/>
          <w:lang w:val="en-US" w:eastAsia="zh-CN"/>
        </w:rPr>
        <w:t xml:space="preserve">  </w:t>
      </w:r>
    </w:p>
    <w:p>
      <w:pPr>
        <w:spacing w:before="9" w:line="240" w:lineRule="auto"/>
      </w:pPr>
    </w:p>
    <w:p>
      <w:pPr>
        <w:spacing w:before="9" w:line="240" w:lineRule="auto"/>
      </w:pPr>
    </w:p>
    <w:p>
      <w:pPr>
        <w:spacing w:before="9" w:line="240" w:lineRule="auto"/>
      </w:pPr>
    </w:p>
    <w:p>
      <w:pPr>
        <w:spacing w:before="9" w:line="240" w:lineRule="auto"/>
      </w:pPr>
    </w:p>
    <w:p>
      <w:pPr>
        <w:spacing w:before="8" w:line="240" w:lineRule="auto"/>
      </w:pPr>
    </w:p>
    <w:p>
      <w:pPr>
        <w:spacing w:before="8" w:line="240" w:lineRule="auto"/>
      </w:pPr>
    </w:p>
    <w:tbl>
      <w:tblPr>
        <w:tblStyle w:val="7"/>
        <w:tblW w:w="14445" w:type="dxa"/>
        <w:tblInd w:w="2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990"/>
        <w:gridCol w:w="2610"/>
        <w:gridCol w:w="4575"/>
        <w:gridCol w:w="4410"/>
        <w:gridCol w:w="10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8" w:hRule="atLeast"/>
        </w:trPr>
        <w:tc>
          <w:tcPr>
            <w:tcW w:w="840" w:type="dxa"/>
            <w:vMerge w:val="restart"/>
            <w:tcBorders>
              <w:top w:val="single" w:color="auto" w:sz="4" w:space="0"/>
              <w:left w:val="single" w:color="auto" w:sz="4" w:space="0"/>
            </w:tcBorders>
            <w:vAlign w:val="top"/>
          </w:tcPr>
          <w:p>
            <w:pPr>
              <w:spacing w:line="240" w:lineRule="auto"/>
              <w:rPr>
                <w:rFonts w:ascii="Arial"/>
                <w:sz w:val="21"/>
              </w:rPr>
            </w:pPr>
          </w:p>
        </w:tc>
        <w:tc>
          <w:tcPr>
            <w:tcW w:w="990" w:type="dxa"/>
            <w:vMerge w:val="restart"/>
            <w:tcBorders>
              <w:top w:val="single" w:color="auto" w:sz="4" w:space="0"/>
              <w:right w:val="single" w:color="auto" w:sz="4" w:space="0"/>
            </w:tcBorders>
            <w:vAlign w:val="top"/>
          </w:tcPr>
          <w:p>
            <w:pPr>
              <w:spacing w:line="240" w:lineRule="auto"/>
              <w:rPr>
                <w:rFonts w:ascii="Arial"/>
                <w:sz w:val="21"/>
              </w:rPr>
            </w:pPr>
          </w:p>
        </w:tc>
        <w:tc>
          <w:tcPr>
            <w:tcW w:w="2610" w:type="dxa"/>
            <w:tcBorders>
              <w:left w:val="single" w:color="auto" w:sz="4" w:space="0"/>
            </w:tcBorders>
            <w:vAlign w:val="top"/>
          </w:tcPr>
          <w:p>
            <w:pPr>
              <w:spacing w:line="240" w:lineRule="auto"/>
              <w:rPr>
                <w:rFonts w:ascii="Arial"/>
                <w:sz w:val="21"/>
              </w:rPr>
            </w:pPr>
          </w:p>
          <w:p>
            <w:pPr>
              <w:spacing w:line="240" w:lineRule="auto"/>
              <w:rPr>
                <w:rFonts w:ascii="Arial"/>
                <w:sz w:val="21"/>
              </w:rPr>
            </w:pPr>
          </w:p>
          <w:p>
            <w:pPr>
              <w:pStyle w:val="6"/>
              <w:spacing w:before="62" w:line="240" w:lineRule="auto"/>
              <w:ind w:left="132"/>
            </w:pPr>
            <w:r>
              <w:rPr>
                <w:spacing w:val="1"/>
              </w:rPr>
              <w:t>7.土地闲置费</w:t>
            </w:r>
          </w:p>
        </w:tc>
        <w:tc>
          <w:tcPr>
            <w:tcW w:w="4575" w:type="dxa"/>
            <w:vAlign w:val="top"/>
          </w:tcPr>
          <w:p>
            <w:pPr>
              <w:pStyle w:val="6"/>
              <w:spacing w:before="156" w:line="240" w:lineRule="auto"/>
              <w:ind w:left="54" w:firstLine="79"/>
              <w:jc w:val="both"/>
            </w:pPr>
            <w:r>
              <w:rPr>
                <w:spacing w:val="-6"/>
              </w:rPr>
              <w:t>除属于政府、政府有关部门的行为造成动工开发延</w:t>
            </w:r>
            <w:r>
              <w:rPr>
                <w:spacing w:val="-2"/>
              </w:rPr>
              <w:t>迟的情形外，未动工开发满一年被认定为闲置土地的，按照土地出让或者划拨价款的百分之二十征缴</w:t>
            </w:r>
            <w:r>
              <w:rPr>
                <w:spacing w:val="-1"/>
              </w:rPr>
              <w:t>土地闲置费.对已经办理审批手续的非农业建设占用耕地，自批准之日起1年以上未动工建设的单位</w:t>
            </w:r>
            <w:r>
              <w:rPr>
                <w:spacing w:val="5"/>
              </w:rPr>
              <w:t>和个人征收，5元/平方米。</w:t>
            </w:r>
          </w:p>
        </w:tc>
        <w:tc>
          <w:tcPr>
            <w:tcW w:w="4410" w:type="dxa"/>
            <w:vAlign w:val="top"/>
          </w:tcPr>
          <w:p>
            <w:pPr>
              <w:pStyle w:val="6"/>
              <w:spacing w:before="36" w:line="240" w:lineRule="auto"/>
              <w:jc w:val="both"/>
            </w:pPr>
            <w:r>
              <w:rPr>
                <w:spacing w:val="-1"/>
              </w:rPr>
              <w:t>《城市房地产管理法》,《土地管理法》,辽</w:t>
            </w:r>
            <w:r>
              <w:rPr>
                <w:spacing w:val="-4"/>
              </w:rPr>
              <w:t>政发〔2000〕48号，按财税〔2014〕7</w:t>
            </w:r>
            <w:r>
              <w:rPr>
                <w:spacing w:val="-5"/>
              </w:rPr>
              <w:t>7号，对</w:t>
            </w:r>
            <w:r>
              <w:t>非营利性养老和医疗机构免征；对营利性养老和医疗机构减半征收。按公告〔2019〕76号，</w:t>
            </w:r>
            <w:r>
              <w:rPr>
                <w:spacing w:val="-2"/>
              </w:rPr>
              <w:t>对用于提供社区养老、托育、家政服务的土地</w:t>
            </w:r>
            <w:r>
              <w:rPr>
                <w:spacing w:val="1"/>
              </w:rPr>
              <w:t>免征。按辽财税〔2021〕133号，2021年7月</w:t>
            </w:r>
            <w:r>
              <w:rPr>
                <w:spacing w:val="-1"/>
              </w:rPr>
              <w:t>1日起，划转至税务部门征收。</w:t>
            </w:r>
          </w:p>
        </w:tc>
        <w:tc>
          <w:tcPr>
            <w:tcW w:w="1020" w:type="dxa"/>
            <w:vAlign w:val="top"/>
          </w:tcPr>
          <w:p>
            <w:pPr>
              <w:spacing w:line="240" w:lineRule="auto"/>
              <w:rPr>
                <w:rFonts w:ascii="Arial"/>
                <w:sz w:val="21"/>
              </w:rPr>
            </w:pPr>
          </w:p>
          <w:p>
            <w:pPr>
              <w:spacing w:line="240" w:lineRule="auto"/>
              <w:rPr>
                <w:rFonts w:ascii="Arial"/>
                <w:sz w:val="21"/>
              </w:rPr>
            </w:pPr>
          </w:p>
          <w:p>
            <w:pPr>
              <w:pStyle w:val="6"/>
              <w:spacing w:before="62" w:line="240" w:lineRule="auto"/>
              <w:ind w:left="170"/>
            </w:pPr>
            <w:r>
              <w:rPr>
                <w:spacing w:val="4"/>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6" w:hRule="atLeast"/>
        </w:trPr>
        <w:tc>
          <w:tcPr>
            <w:tcW w:w="840" w:type="dxa"/>
            <w:vMerge w:val="continue"/>
            <w:tcBorders>
              <w:left w:val="single" w:color="auto" w:sz="4" w:space="0"/>
            </w:tcBorders>
            <w:vAlign w:val="top"/>
          </w:tcPr>
          <w:p>
            <w:pPr>
              <w:spacing w:line="240" w:lineRule="auto"/>
              <w:rPr>
                <w:rFonts w:ascii="Arial"/>
                <w:sz w:val="21"/>
              </w:rPr>
            </w:pPr>
          </w:p>
        </w:tc>
        <w:tc>
          <w:tcPr>
            <w:tcW w:w="990" w:type="dxa"/>
            <w:vMerge w:val="continue"/>
            <w:tcBorders>
              <w:right w:val="single" w:color="auto" w:sz="4" w:space="0"/>
            </w:tcBorders>
            <w:vAlign w:val="top"/>
          </w:tcPr>
          <w:p>
            <w:pPr>
              <w:spacing w:line="240" w:lineRule="auto"/>
              <w:rPr>
                <w:rFonts w:ascii="Arial"/>
                <w:sz w:val="21"/>
              </w:rPr>
            </w:pPr>
          </w:p>
        </w:tc>
        <w:tc>
          <w:tcPr>
            <w:tcW w:w="2610" w:type="dxa"/>
            <w:tcBorders>
              <w:left w:val="single" w:color="auto" w:sz="4" w:space="0"/>
            </w:tcBorders>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62" w:line="240" w:lineRule="auto"/>
              <w:ind w:left="132"/>
            </w:pPr>
            <w:r>
              <w:rPr>
                <w:spacing w:val="-1"/>
              </w:rPr>
              <w:t>8.不动产登记收费</w:t>
            </w:r>
          </w:p>
        </w:tc>
        <w:tc>
          <w:tcPr>
            <w:tcW w:w="4575" w:type="dxa"/>
            <w:vAlign w:val="top"/>
          </w:tcPr>
          <w:p>
            <w:pPr>
              <w:spacing w:line="240" w:lineRule="auto"/>
              <w:rPr>
                <w:rFonts w:ascii="Arial"/>
                <w:sz w:val="21"/>
              </w:rPr>
            </w:pPr>
          </w:p>
          <w:p>
            <w:pPr>
              <w:spacing w:line="240" w:lineRule="auto"/>
              <w:rPr>
                <w:rFonts w:ascii="Arial"/>
                <w:sz w:val="21"/>
              </w:rPr>
            </w:pPr>
          </w:p>
          <w:p>
            <w:pPr>
              <w:pStyle w:val="6"/>
              <w:spacing w:before="62" w:line="240" w:lineRule="auto"/>
              <w:ind w:left="113" w:hanging="59"/>
              <w:jc w:val="both"/>
            </w:pPr>
            <w:r>
              <w:rPr>
                <w:spacing w:val="-1"/>
              </w:rPr>
              <w:t>住宅类不动产登记收费80元/件，非住宅</w:t>
            </w:r>
            <w:r>
              <w:rPr>
                <w:spacing w:val="-2"/>
              </w:rPr>
              <w:t>类不动产</w:t>
            </w:r>
            <w:r>
              <w:rPr>
                <w:spacing w:val="-5"/>
              </w:rPr>
              <w:t>登记收费550元/件，向一个以上不动产权利人核发权属证书的，每增加一本证书加收工本费10元；对申请办理车库、车位、储藏室不动产登记，单独核发不动产权属证书或登记证明的，不动产登记费由原非住宅类不动产登记550元/件减按住宅类不动产</w:t>
            </w:r>
            <w:r>
              <w:rPr>
                <w:spacing w:val="1"/>
              </w:rPr>
              <w:t>登记80元/件收取。</w:t>
            </w:r>
          </w:p>
        </w:tc>
        <w:tc>
          <w:tcPr>
            <w:tcW w:w="4410" w:type="dxa"/>
            <w:vAlign w:val="top"/>
          </w:tcPr>
          <w:p>
            <w:pPr>
              <w:pStyle w:val="6"/>
              <w:spacing w:before="40" w:line="240" w:lineRule="auto"/>
              <w:jc w:val="left"/>
            </w:pPr>
            <w:r>
              <w:rPr>
                <w:spacing w:val="-6"/>
              </w:rPr>
              <w:t>财税〔2016〕79号，发改价格规〔2016〕2559</w:t>
            </w:r>
            <w:r>
              <w:rPr>
                <w:spacing w:val="-3"/>
              </w:rPr>
              <w:t>号。按财税〔2014〕77号，对非营利性养老和</w:t>
            </w:r>
            <w:r>
              <w:rPr>
                <w:spacing w:val="-4"/>
              </w:rPr>
              <w:t>医疗机构免征；对营利性养老和医疗机构减半</w:t>
            </w:r>
            <w:r>
              <w:rPr>
                <w:spacing w:val="-11"/>
              </w:rPr>
              <w:t>征收。按财税〔2019〕45号规定，对申请办理变</w:t>
            </w:r>
            <w:r>
              <w:rPr>
                <w:spacing w:val="-3"/>
              </w:rPr>
              <w:t>更登记、更正登记，森林、林木所有权及其占</w:t>
            </w:r>
            <w:r>
              <w:rPr>
                <w:spacing w:val="-6"/>
              </w:rPr>
              <w:t>用的林地承包经营权或林地使用权，及相关抵</w:t>
            </w:r>
            <w:r>
              <w:t>押权、地役权不动产权利登记，耕地、草地、</w:t>
            </w:r>
            <w:r>
              <w:rPr>
                <w:spacing w:val="-6"/>
              </w:rPr>
              <w:t>水域、淮涂等土地承包经营权或国有农用地使</w:t>
            </w:r>
            <w:r>
              <w:rPr>
                <w:spacing w:val="-4"/>
              </w:rPr>
              <w:t>用权及相关抵押权、地役权不动产权利登记的免征。按公告〔2019〕76号，对用于提供社区</w:t>
            </w:r>
            <w:r>
              <w:rPr>
                <w:spacing w:val="-1"/>
              </w:rPr>
              <w:t>养老、托育、家政服务的土地免征。按财税</w:t>
            </w:r>
            <w:r>
              <w:rPr>
                <w:spacing w:val="3"/>
              </w:rPr>
              <w:t>〔2019〕53号，对易地扶贫搬迁项目免征。</w:t>
            </w:r>
          </w:p>
        </w:tc>
        <w:tc>
          <w:tcPr>
            <w:tcW w:w="1020"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62" w:line="240" w:lineRule="auto"/>
              <w:ind w:left="170"/>
            </w:pPr>
            <w:r>
              <w:rPr>
                <w:spacing w:val="4"/>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6" w:hRule="atLeast"/>
        </w:trPr>
        <w:tc>
          <w:tcPr>
            <w:tcW w:w="840" w:type="dxa"/>
            <w:vMerge w:val="continue"/>
            <w:tcBorders>
              <w:left w:val="single" w:color="auto" w:sz="4" w:space="0"/>
              <w:bottom w:val="single" w:color="auto" w:sz="4" w:space="0"/>
            </w:tcBorders>
            <w:vAlign w:val="top"/>
          </w:tcPr>
          <w:p>
            <w:pPr>
              <w:spacing w:line="240" w:lineRule="auto"/>
              <w:rPr>
                <w:rFonts w:ascii="Arial"/>
                <w:sz w:val="21"/>
              </w:rPr>
            </w:pPr>
          </w:p>
        </w:tc>
        <w:tc>
          <w:tcPr>
            <w:tcW w:w="990" w:type="dxa"/>
            <w:vMerge w:val="continue"/>
            <w:tcBorders>
              <w:bottom w:val="single" w:color="auto" w:sz="4" w:space="0"/>
              <w:right w:val="single" w:color="auto" w:sz="4" w:space="0"/>
            </w:tcBorders>
            <w:vAlign w:val="top"/>
          </w:tcPr>
          <w:p>
            <w:pPr>
              <w:spacing w:line="240" w:lineRule="auto"/>
              <w:rPr>
                <w:rFonts w:ascii="Arial"/>
                <w:sz w:val="21"/>
              </w:rPr>
            </w:pPr>
          </w:p>
        </w:tc>
        <w:tc>
          <w:tcPr>
            <w:tcW w:w="2610" w:type="dxa"/>
            <w:tcBorders>
              <w:left w:val="single" w:color="auto" w:sz="4" w:space="0"/>
            </w:tcBorders>
            <w:vAlign w:val="top"/>
          </w:tcPr>
          <w:p>
            <w:pPr>
              <w:spacing w:line="240" w:lineRule="auto"/>
              <w:rPr>
                <w:rFonts w:ascii="Arial"/>
                <w:sz w:val="21"/>
              </w:rPr>
            </w:pPr>
          </w:p>
          <w:p>
            <w:pPr>
              <w:pStyle w:val="6"/>
              <w:spacing w:before="61" w:line="240" w:lineRule="auto"/>
              <w:ind w:left="132"/>
            </w:pPr>
            <w:r>
              <w:rPr>
                <w:spacing w:val="-1"/>
              </w:rPr>
              <w:t>9.草原植被恢复费</w:t>
            </w:r>
          </w:p>
        </w:tc>
        <w:tc>
          <w:tcPr>
            <w:tcW w:w="4575" w:type="dxa"/>
            <w:vAlign w:val="top"/>
          </w:tcPr>
          <w:p>
            <w:pPr>
              <w:pStyle w:val="6"/>
              <w:spacing w:before="33" w:line="240" w:lineRule="auto"/>
              <w:ind w:left="4" w:firstLine="100"/>
            </w:pPr>
            <w:r>
              <w:rPr>
                <w:spacing w:val="-1"/>
              </w:rPr>
              <w:t>人工草地4元/平方米，天然草原6元/平方米；对</w:t>
            </w:r>
            <w:r>
              <w:t>在草原上修建直接为草原保护和畜牧业生产服务的工程设施的单位和个人，以及按规定标准建设住宅</w:t>
            </w:r>
          </w:p>
          <w:p>
            <w:pPr>
              <w:pStyle w:val="6"/>
              <w:spacing w:before="44" w:line="240" w:lineRule="auto"/>
              <w:ind w:left="114"/>
            </w:pPr>
            <w:r>
              <w:rPr>
                <w:spacing w:val="-1"/>
              </w:rPr>
              <w:t>使用的草原农牧民，不得征收。</w:t>
            </w:r>
          </w:p>
        </w:tc>
        <w:tc>
          <w:tcPr>
            <w:tcW w:w="4410" w:type="dxa"/>
            <w:vAlign w:val="top"/>
          </w:tcPr>
          <w:p>
            <w:pPr>
              <w:pStyle w:val="6"/>
              <w:spacing w:before="44" w:line="240" w:lineRule="auto"/>
              <w:ind w:left="17" w:firstLine="48"/>
            </w:pPr>
            <w:r>
              <w:rPr>
                <w:spacing w:val="-4"/>
              </w:rPr>
              <w:t>财综〔2010〕29号，辽财非〔2010〕1138号，</w:t>
            </w:r>
            <w:r>
              <w:rPr>
                <w:spacing w:val="-3"/>
              </w:rPr>
              <w:t>辽发改价格函〔2023〕4号，按辽财税〔2022〕</w:t>
            </w:r>
            <w:r>
              <w:t>269号，2023年1月1日起，划转至税务部门</w:t>
            </w:r>
            <w:r>
              <w:rPr>
                <w:spacing w:val="-2"/>
              </w:rPr>
              <w:t>征收。</w:t>
            </w:r>
          </w:p>
        </w:tc>
        <w:tc>
          <w:tcPr>
            <w:tcW w:w="1020" w:type="dxa"/>
            <w:vAlign w:val="top"/>
          </w:tcPr>
          <w:p>
            <w:pPr>
              <w:spacing w:line="240" w:lineRule="auto"/>
              <w:rPr>
                <w:rFonts w:ascii="Arial"/>
                <w:sz w:val="21"/>
              </w:rPr>
            </w:pPr>
          </w:p>
          <w:p>
            <w:pPr>
              <w:pStyle w:val="6"/>
              <w:spacing w:before="62" w:line="240" w:lineRule="auto"/>
              <w:ind w:left="170"/>
            </w:pPr>
            <w:r>
              <w:rPr>
                <w:spacing w:val="4"/>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840" w:type="dxa"/>
            <w:vMerge w:val="restart"/>
            <w:tcBorders>
              <w:top w:val="single" w:color="auto" w:sz="4" w:space="0"/>
            </w:tcBorders>
            <w:vAlign w:val="top"/>
          </w:tcPr>
          <w:p>
            <w:pPr>
              <w:spacing w:line="240" w:lineRule="auto"/>
              <w:rPr>
                <w:rFonts w:ascii="Arial"/>
                <w:sz w:val="21"/>
              </w:rPr>
            </w:pPr>
          </w:p>
          <w:p>
            <w:pPr>
              <w:bidi w:val="0"/>
              <w:spacing w:line="240" w:lineRule="auto"/>
              <w:rPr>
                <w:rFonts w:asciiTheme="minorHAnsi" w:hAnsiTheme="minorHAnsi" w:eastAsiaTheme="minorEastAsia" w:cstheme="minorBidi"/>
                <w:kern w:val="2"/>
                <w:sz w:val="21"/>
                <w:szCs w:val="22"/>
                <w:lang w:val="en-US" w:eastAsia="zh-CN" w:bidi="ar-SA"/>
              </w:rPr>
            </w:pPr>
          </w:p>
          <w:p>
            <w:pPr>
              <w:bidi w:val="0"/>
              <w:spacing w:line="240" w:lineRule="auto"/>
              <w:rPr>
                <w:lang w:val="en-US" w:eastAsia="zh-CN"/>
              </w:rPr>
            </w:pPr>
          </w:p>
          <w:p>
            <w:pPr>
              <w:bidi w:val="0"/>
              <w:spacing w:line="240" w:lineRule="auto"/>
              <w:rPr>
                <w:lang w:val="en-US" w:eastAsia="zh-CN"/>
              </w:rPr>
            </w:pPr>
          </w:p>
          <w:p>
            <w:pPr>
              <w:bidi w:val="0"/>
              <w:spacing w:line="240" w:lineRule="auto"/>
              <w:ind w:firstLine="380" w:firstLineChars="200"/>
              <w:jc w:val="left"/>
              <w:rPr>
                <w:rFonts w:hint="default"/>
                <w:lang w:val="en-US" w:eastAsia="zh-CN"/>
              </w:rPr>
            </w:pPr>
            <w:r>
              <w:rPr>
                <w:rFonts w:hint="eastAsia"/>
                <w:sz w:val="19"/>
                <w:szCs w:val="19"/>
                <w:lang w:val="en-US" w:eastAsia="zh-CN"/>
              </w:rPr>
              <w:t>六</w:t>
            </w:r>
          </w:p>
        </w:tc>
        <w:tc>
          <w:tcPr>
            <w:tcW w:w="990" w:type="dxa"/>
            <w:vMerge w:val="restart"/>
            <w:tcBorders>
              <w:top w:val="single" w:color="auto" w:sz="4" w:space="0"/>
            </w:tcBorders>
            <w:vAlign w:val="top"/>
          </w:tcPr>
          <w:p>
            <w:pPr>
              <w:spacing w:line="240" w:lineRule="auto"/>
              <w:jc w:val="center"/>
              <w:rPr>
                <w:rFonts w:hint="eastAsia" w:ascii="Arial"/>
                <w:sz w:val="19"/>
                <w:szCs w:val="19"/>
                <w:lang w:val="en-US" w:eastAsia="zh-CN"/>
              </w:rPr>
            </w:pPr>
          </w:p>
          <w:p>
            <w:pPr>
              <w:spacing w:line="240" w:lineRule="auto"/>
              <w:jc w:val="center"/>
              <w:rPr>
                <w:rFonts w:hint="eastAsia" w:ascii="Arial"/>
                <w:sz w:val="19"/>
                <w:szCs w:val="19"/>
                <w:lang w:val="en-US" w:eastAsia="zh-CN"/>
              </w:rPr>
            </w:pPr>
          </w:p>
          <w:p>
            <w:pPr>
              <w:spacing w:line="240" w:lineRule="auto"/>
              <w:jc w:val="center"/>
              <w:rPr>
                <w:rFonts w:hint="eastAsia" w:ascii="Arial"/>
                <w:sz w:val="19"/>
                <w:szCs w:val="19"/>
                <w:lang w:val="en-US" w:eastAsia="zh-CN"/>
              </w:rPr>
            </w:pPr>
          </w:p>
          <w:p>
            <w:pPr>
              <w:spacing w:line="240" w:lineRule="auto"/>
              <w:jc w:val="center"/>
              <w:rPr>
                <w:rFonts w:hint="eastAsia" w:ascii="Arial"/>
                <w:sz w:val="19"/>
                <w:szCs w:val="19"/>
                <w:lang w:val="en-US" w:eastAsia="zh-CN"/>
              </w:rPr>
            </w:pPr>
          </w:p>
          <w:p>
            <w:pPr>
              <w:spacing w:line="240" w:lineRule="auto"/>
              <w:jc w:val="center"/>
              <w:rPr>
                <w:rFonts w:hint="eastAsia" w:ascii="Arial"/>
                <w:sz w:val="19"/>
                <w:szCs w:val="19"/>
                <w:lang w:val="en-US" w:eastAsia="zh-CN"/>
              </w:rPr>
            </w:pPr>
          </w:p>
          <w:p>
            <w:pPr>
              <w:spacing w:line="240" w:lineRule="auto"/>
              <w:jc w:val="center"/>
              <w:rPr>
                <w:rFonts w:hint="eastAsia" w:ascii="Arial" w:eastAsiaTheme="minorEastAsia"/>
                <w:sz w:val="21"/>
                <w:lang w:val="en-US" w:eastAsia="zh-CN"/>
              </w:rPr>
            </w:pPr>
            <w:r>
              <w:rPr>
                <w:rFonts w:hint="eastAsia" w:ascii="Arial"/>
                <w:sz w:val="19"/>
                <w:szCs w:val="19"/>
                <w:lang w:val="en-US" w:eastAsia="zh-CN"/>
              </w:rPr>
              <w:t>水务</w:t>
            </w:r>
          </w:p>
        </w:tc>
        <w:tc>
          <w:tcPr>
            <w:tcW w:w="2610" w:type="dxa"/>
            <w:vMerge w:val="restart"/>
            <w:vAlign w:val="top"/>
          </w:tcPr>
          <w:p>
            <w:pPr>
              <w:pStyle w:val="6"/>
              <w:spacing w:before="37" w:line="240" w:lineRule="auto"/>
              <w:ind w:right="16"/>
              <w:jc w:val="right"/>
            </w:pPr>
          </w:p>
          <w:p>
            <w:pPr>
              <w:pStyle w:val="6"/>
              <w:spacing w:before="37" w:line="240" w:lineRule="auto"/>
              <w:ind w:right="16"/>
              <w:jc w:val="right"/>
            </w:pPr>
          </w:p>
          <w:p>
            <w:pPr>
              <w:pStyle w:val="6"/>
              <w:spacing w:before="37" w:line="240" w:lineRule="auto"/>
              <w:ind w:right="16"/>
              <w:jc w:val="right"/>
            </w:pPr>
          </w:p>
          <w:p>
            <w:pPr>
              <w:pStyle w:val="6"/>
              <w:spacing w:before="37" w:line="240" w:lineRule="auto"/>
              <w:ind w:right="16"/>
              <w:jc w:val="right"/>
            </w:pPr>
            <w:r>
              <w:t>1</w:t>
            </w:r>
            <w:r>
              <w:rPr>
                <w:rFonts w:hint="eastAsia"/>
                <w:lang w:val="en-US" w:eastAsia="zh-CN"/>
              </w:rPr>
              <w:t>0</w:t>
            </w:r>
            <w:r>
              <w:t>.水资源费(对农民生活和生</w:t>
            </w:r>
          </w:p>
          <w:p>
            <w:pPr>
              <w:pStyle w:val="6"/>
              <w:spacing w:before="4" w:line="240" w:lineRule="auto"/>
              <w:ind w:left="792"/>
            </w:pPr>
            <w:r>
              <w:rPr>
                <w:spacing w:val="6"/>
              </w:rPr>
              <w:t>产用水免收)</w:t>
            </w:r>
          </w:p>
        </w:tc>
        <w:tc>
          <w:tcPr>
            <w:tcW w:w="4575" w:type="dxa"/>
            <w:vAlign w:val="top"/>
          </w:tcPr>
          <w:p>
            <w:pPr>
              <w:pStyle w:val="6"/>
              <w:spacing w:before="44" w:line="240" w:lineRule="auto"/>
              <w:ind w:left="104" w:right="19" w:hanging="100"/>
            </w:pPr>
            <w:r>
              <w:rPr>
                <w:spacing w:val="-1"/>
              </w:rPr>
              <w:t>①一般地下水：居民生活和自来水公司取水0.35元/立方米；非居民取水0.7元/立方米；特业取水4</w:t>
            </w:r>
            <w:r>
              <w:t>元/立方米。</w:t>
            </w:r>
          </w:p>
        </w:tc>
        <w:tc>
          <w:tcPr>
            <w:tcW w:w="4410" w:type="dxa"/>
            <w:vMerge w:val="restart"/>
            <w:vAlign w:val="top"/>
          </w:tcPr>
          <w:p>
            <w:pPr>
              <w:pStyle w:val="6"/>
              <w:spacing w:before="54" w:line="240" w:lineRule="auto"/>
              <w:ind w:left="217" w:right="115" w:hanging="195"/>
              <w:rPr>
                <w:spacing w:val="-1"/>
              </w:rPr>
            </w:pPr>
          </w:p>
          <w:p>
            <w:pPr>
              <w:pStyle w:val="6"/>
              <w:spacing w:before="54" w:line="240" w:lineRule="auto"/>
              <w:ind w:left="217" w:right="115" w:hanging="195"/>
              <w:jc w:val="left"/>
              <w:rPr>
                <w:rFonts w:hint="eastAsia" w:eastAsia="宋体"/>
                <w:lang w:eastAsia="zh-CN"/>
              </w:rPr>
            </w:pPr>
            <w:r>
              <w:rPr>
                <w:spacing w:val="-1"/>
              </w:rPr>
              <w:t>《水法》,《取水许可和水资源费征收管理条</w:t>
            </w:r>
            <w:r>
              <w:rPr>
                <w:spacing w:val="4"/>
              </w:rPr>
              <w:t>例》(国务院令第460号),价费字〔1992〕</w:t>
            </w:r>
            <w:r>
              <w:rPr>
                <w:spacing w:val="-4"/>
              </w:rPr>
              <w:t>181号，财〔2003〕89号，财综〔2008〕79</w:t>
            </w:r>
            <w:r>
              <w:rPr>
                <w:spacing w:val="-16"/>
              </w:rPr>
              <w:t>号，发改价格〔2009〕1779号，发改价格〔201</w:t>
            </w:r>
            <w:r>
              <w:rPr>
                <w:spacing w:val="-17"/>
              </w:rPr>
              <w:t>3〕</w:t>
            </w:r>
            <w:r>
              <w:rPr>
                <w:spacing w:val="-3"/>
              </w:rPr>
              <w:t>29号，辽财综〔2004〕67号，辽财非〔2009〕</w:t>
            </w:r>
            <w:r>
              <w:rPr>
                <w:spacing w:val="-6"/>
              </w:rPr>
              <w:t>546号，省政府令第234号，辽政发〔2010〕18</w:t>
            </w:r>
            <w:r>
              <w:rPr>
                <w:spacing w:val="-9"/>
              </w:rPr>
              <w:t>号，辽价发〔2011〕100号，辽政发〔20</w:t>
            </w:r>
            <w:r>
              <w:rPr>
                <w:spacing w:val="-10"/>
              </w:rPr>
              <w:t>16〕27</w:t>
            </w:r>
            <w:r>
              <w:rPr>
                <w:spacing w:val="-7"/>
              </w:rPr>
              <w:t>号。按财综〔2010〕57号，对中小学校“校舍</w:t>
            </w:r>
            <w:r>
              <w:rPr>
                <w:spacing w:val="-3"/>
              </w:rPr>
              <w:t>安全工程”免征</w:t>
            </w:r>
            <w:r>
              <w:rPr>
                <w:rFonts w:hint="eastAsia"/>
                <w:spacing w:val="-3"/>
                <w:lang w:eastAsia="zh-CN"/>
              </w:rPr>
              <w:t>。</w:t>
            </w:r>
          </w:p>
        </w:tc>
        <w:tc>
          <w:tcPr>
            <w:tcW w:w="1020" w:type="dxa"/>
            <w:vMerge w:val="restart"/>
            <w:vAlign w:val="top"/>
          </w:tcPr>
          <w:p>
            <w:pPr>
              <w:pStyle w:val="6"/>
              <w:spacing w:before="148" w:line="240" w:lineRule="auto"/>
              <w:ind w:left="170"/>
              <w:jc w:val="center"/>
              <w:rPr>
                <w:spacing w:val="4"/>
              </w:rPr>
            </w:pPr>
          </w:p>
          <w:p>
            <w:pPr>
              <w:pStyle w:val="6"/>
              <w:spacing w:before="148" w:line="240" w:lineRule="auto"/>
              <w:ind w:left="170"/>
              <w:jc w:val="center"/>
              <w:rPr>
                <w:spacing w:val="4"/>
              </w:rPr>
            </w:pPr>
          </w:p>
          <w:p>
            <w:pPr>
              <w:pStyle w:val="6"/>
              <w:spacing w:before="148" w:line="240" w:lineRule="auto"/>
              <w:ind w:left="170"/>
              <w:jc w:val="both"/>
            </w:pPr>
            <w:r>
              <w:rPr>
                <w:spacing w:val="4"/>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1" w:hRule="atLeast"/>
        </w:trPr>
        <w:tc>
          <w:tcPr>
            <w:tcW w:w="840" w:type="dxa"/>
            <w:vMerge w:val="continue"/>
            <w:vAlign w:val="top"/>
          </w:tcPr>
          <w:p>
            <w:pPr>
              <w:spacing w:line="240" w:lineRule="auto"/>
              <w:rPr>
                <w:rFonts w:ascii="Arial"/>
                <w:sz w:val="21"/>
              </w:rPr>
            </w:pPr>
          </w:p>
        </w:tc>
        <w:tc>
          <w:tcPr>
            <w:tcW w:w="990" w:type="dxa"/>
            <w:vMerge w:val="continue"/>
            <w:vAlign w:val="top"/>
          </w:tcPr>
          <w:p>
            <w:pPr>
              <w:spacing w:line="240" w:lineRule="auto"/>
              <w:rPr>
                <w:rFonts w:ascii="Arial"/>
                <w:sz w:val="21"/>
              </w:rPr>
            </w:pPr>
          </w:p>
        </w:tc>
        <w:tc>
          <w:tcPr>
            <w:tcW w:w="2610" w:type="dxa"/>
            <w:vMerge w:val="continue"/>
            <w:vAlign w:val="top"/>
          </w:tcPr>
          <w:p>
            <w:pPr>
              <w:pStyle w:val="6"/>
              <w:spacing w:before="4" w:line="240" w:lineRule="auto"/>
              <w:ind w:left="792"/>
              <w:rPr>
                <w:spacing w:val="6"/>
              </w:rPr>
            </w:pPr>
          </w:p>
        </w:tc>
        <w:tc>
          <w:tcPr>
            <w:tcW w:w="4575" w:type="dxa"/>
            <w:vAlign w:val="top"/>
          </w:tcPr>
          <w:p>
            <w:pPr>
              <w:pStyle w:val="6"/>
              <w:spacing w:before="44" w:line="240" w:lineRule="auto"/>
              <w:ind w:left="104" w:right="19" w:hanging="100"/>
              <w:rPr>
                <w:spacing w:val="-1"/>
              </w:rPr>
            </w:pPr>
            <w:r>
              <w:rPr>
                <w:spacing w:val="-1"/>
              </w:rPr>
              <w:t>②保护区和管网区地下水：居民生活和自来水公司</w:t>
            </w:r>
            <w:r>
              <w:rPr>
                <w:spacing w:val="3"/>
              </w:rPr>
              <w:t>取水0.8元/立方米；非居民取水1.2元/立方米；</w:t>
            </w:r>
            <w:r>
              <w:t>特业取水10元/立方米。</w:t>
            </w:r>
          </w:p>
        </w:tc>
        <w:tc>
          <w:tcPr>
            <w:tcW w:w="4410" w:type="dxa"/>
            <w:vMerge w:val="continue"/>
            <w:vAlign w:val="top"/>
          </w:tcPr>
          <w:p>
            <w:pPr>
              <w:pStyle w:val="6"/>
              <w:spacing w:before="54" w:line="240" w:lineRule="auto"/>
              <w:ind w:left="217" w:right="115" w:hanging="195"/>
              <w:rPr>
                <w:spacing w:val="-1"/>
              </w:rPr>
            </w:pPr>
          </w:p>
        </w:tc>
        <w:tc>
          <w:tcPr>
            <w:tcW w:w="1020" w:type="dxa"/>
            <w:vMerge w:val="continue"/>
            <w:vAlign w:val="top"/>
          </w:tcPr>
          <w:p>
            <w:pPr>
              <w:pStyle w:val="6"/>
              <w:spacing w:before="148" w:line="240" w:lineRule="auto"/>
              <w:ind w:left="170"/>
              <w:rPr>
                <w:spacing w:val="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840" w:type="dxa"/>
            <w:vMerge w:val="continue"/>
            <w:vAlign w:val="top"/>
          </w:tcPr>
          <w:p>
            <w:pPr>
              <w:spacing w:line="240" w:lineRule="auto"/>
              <w:rPr>
                <w:rFonts w:ascii="Arial"/>
                <w:sz w:val="21"/>
              </w:rPr>
            </w:pPr>
          </w:p>
        </w:tc>
        <w:tc>
          <w:tcPr>
            <w:tcW w:w="990" w:type="dxa"/>
            <w:vMerge w:val="continue"/>
            <w:vAlign w:val="top"/>
          </w:tcPr>
          <w:p>
            <w:pPr>
              <w:spacing w:line="240" w:lineRule="auto"/>
              <w:rPr>
                <w:rFonts w:ascii="Arial"/>
                <w:sz w:val="21"/>
              </w:rPr>
            </w:pPr>
          </w:p>
        </w:tc>
        <w:tc>
          <w:tcPr>
            <w:tcW w:w="2610" w:type="dxa"/>
            <w:vMerge w:val="continue"/>
            <w:vAlign w:val="top"/>
          </w:tcPr>
          <w:p>
            <w:pPr>
              <w:pStyle w:val="6"/>
              <w:spacing w:before="4" w:line="240" w:lineRule="auto"/>
              <w:ind w:left="792"/>
              <w:rPr>
                <w:spacing w:val="6"/>
              </w:rPr>
            </w:pPr>
          </w:p>
        </w:tc>
        <w:tc>
          <w:tcPr>
            <w:tcW w:w="4575" w:type="dxa"/>
            <w:vAlign w:val="top"/>
          </w:tcPr>
          <w:p>
            <w:pPr>
              <w:pStyle w:val="6"/>
              <w:spacing w:before="44" w:line="240" w:lineRule="auto"/>
              <w:ind w:left="104" w:right="19" w:hanging="100"/>
              <w:rPr>
                <w:spacing w:val="-1"/>
              </w:rPr>
            </w:pPr>
            <w:r>
              <w:rPr>
                <w:spacing w:val="-1"/>
              </w:rPr>
              <w:t>③地热水、矿泉水：居民生活取水1.2元/立方米；</w:t>
            </w:r>
            <w:r>
              <w:rPr>
                <w:spacing w:val="-4"/>
              </w:rPr>
              <w:t>非居民取水2元/立方米；特业取水10元/立方米。</w:t>
            </w:r>
          </w:p>
        </w:tc>
        <w:tc>
          <w:tcPr>
            <w:tcW w:w="4410" w:type="dxa"/>
            <w:vMerge w:val="continue"/>
            <w:vAlign w:val="top"/>
          </w:tcPr>
          <w:p>
            <w:pPr>
              <w:pStyle w:val="6"/>
              <w:spacing w:before="54" w:line="240" w:lineRule="auto"/>
              <w:ind w:left="217" w:right="115" w:hanging="195"/>
              <w:rPr>
                <w:spacing w:val="-1"/>
              </w:rPr>
            </w:pPr>
          </w:p>
        </w:tc>
        <w:tc>
          <w:tcPr>
            <w:tcW w:w="1020" w:type="dxa"/>
            <w:vMerge w:val="continue"/>
            <w:vAlign w:val="top"/>
          </w:tcPr>
          <w:p>
            <w:pPr>
              <w:pStyle w:val="6"/>
              <w:spacing w:before="148" w:line="240" w:lineRule="auto"/>
              <w:ind w:left="170"/>
              <w:rPr>
                <w:spacing w:val="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840" w:type="dxa"/>
            <w:vMerge w:val="continue"/>
            <w:tcBorders>
              <w:bottom w:val="single" w:color="auto" w:sz="4" w:space="0"/>
            </w:tcBorders>
            <w:vAlign w:val="top"/>
          </w:tcPr>
          <w:p>
            <w:pPr>
              <w:spacing w:line="240" w:lineRule="auto"/>
              <w:rPr>
                <w:rFonts w:ascii="Arial"/>
                <w:sz w:val="21"/>
              </w:rPr>
            </w:pPr>
          </w:p>
        </w:tc>
        <w:tc>
          <w:tcPr>
            <w:tcW w:w="990" w:type="dxa"/>
            <w:vMerge w:val="continue"/>
            <w:tcBorders>
              <w:bottom w:val="single" w:color="auto" w:sz="4" w:space="0"/>
            </w:tcBorders>
            <w:vAlign w:val="top"/>
          </w:tcPr>
          <w:p>
            <w:pPr>
              <w:spacing w:line="240" w:lineRule="auto"/>
              <w:rPr>
                <w:rFonts w:ascii="Arial"/>
                <w:sz w:val="21"/>
              </w:rPr>
            </w:pPr>
          </w:p>
        </w:tc>
        <w:tc>
          <w:tcPr>
            <w:tcW w:w="2610" w:type="dxa"/>
            <w:vMerge w:val="continue"/>
            <w:vAlign w:val="top"/>
          </w:tcPr>
          <w:p>
            <w:pPr>
              <w:pStyle w:val="6"/>
              <w:spacing w:before="4" w:line="240" w:lineRule="auto"/>
              <w:ind w:left="792"/>
              <w:rPr>
                <w:spacing w:val="6"/>
              </w:rPr>
            </w:pPr>
          </w:p>
        </w:tc>
        <w:tc>
          <w:tcPr>
            <w:tcW w:w="4575" w:type="dxa"/>
            <w:vAlign w:val="top"/>
          </w:tcPr>
          <w:p>
            <w:pPr>
              <w:pStyle w:val="6"/>
              <w:spacing w:before="44" w:line="240" w:lineRule="auto"/>
              <w:ind w:left="104" w:right="19" w:hanging="100"/>
              <w:rPr>
                <w:spacing w:val="-1"/>
              </w:rPr>
            </w:pPr>
            <w:r>
              <w:rPr>
                <w:spacing w:val="-1"/>
              </w:rPr>
              <w:t>④地表水：居民生活和自来水公司取水0.2元/立方米；非居民取水0.5元/立方米；特业取水4元/立方米。</w:t>
            </w:r>
          </w:p>
        </w:tc>
        <w:tc>
          <w:tcPr>
            <w:tcW w:w="4410" w:type="dxa"/>
            <w:vMerge w:val="continue"/>
            <w:vAlign w:val="top"/>
          </w:tcPr>
          <w:p>
            <w:pPr>
              <w:pStyle w:val="6"/>
              <w:spacing w:before="54" w:line="240" w:lineRule="auto"/>
              <w:ind w:left="217" w:right="115" w:hanging="195"/>
              <w:rPr>
                <w:spacing w:val="-1"/>
              </w:rPr>
            </w:pPr>
          </w:p>
        </w:tc>
        <w:tc>
          <w:tcPr>
            <w:tcW w:w="1020" w:type="dxa"/>
            <w:vMerge w:val="continue"/>
            <w:vAlign w:val="top"/>
          </w:tcPr>
          <w:p>
            <w:pPr>
              <w:pStyle w:val="6"/>
              <w:spacing w:before="148" w:line="240" w:lineRule="auto"/>
              <w:ind w:left="170"/>
              <w:rPr>
                <w:spacing w:val="4"/>
              </w:rPr>
            </w:pPr>
          </w:p>
        </w:tc>
      </w:tr>
    </w:tbl>
    <w:p>
      <w:pPr>
        <w:pStyle w:val="2"/>
        <w:spacing w:before="182" w:line="240" w:lineRule="auto"/>
        <w:ind w:left="12865"/>
        <w:rPr>
          <w:spacing w:val="-4"/>
          <w:sz w:val="32"/>
          <w:szCs w:val="32"/>
        </w:rPr>
      </w:pPr>
    </w:p>
    <w:p>
      <w:pPr>
        <w:pStyle w:val="2"/>
        <w:spacing w:before="182" w:line="240" w:lineRule="auto"/>
        <w:ind w:left="12865"/>
        <w:rPr>
          <w:sz w:val="32"/>
          <w:szCs w:val="32"/>
        </w:rPr>
      </w:pPr>
      <w:r>
        <w:rPr>
          <w:spacing w:val="-4"/>
          <w:sz w:val="32"/>
          <w:szCs w:val="32"/>
        </w:rPr>
        <w:t>—5—</w:t>
      </w:r>
    </w:p>
    <w:p>
      <w:pPr>
        <w:spacing w:line="240" w:lineRule="auto"/>
        <w:rPr>
          <w:sz w:val="32"/>
          <w:szCs w:val="32"/>
        </w:rPr>
        <w:sectPr>
          <w:headerReference r:id="rId4" w:type="default"/>
          <w:pgSz w:w="16760" w:h="11960"/>
          <w:pgMar w:top="154" w:right="725" w:bottom="400" w:left="914" w:header="54" w:footer="0" w:gutter="0"/>
          <w:cols w:space="720" w:num="1"/>
        </w:sectPr>
      </w:pPr>
    </w:p>
    <w:p>
      <w:pPr>
        <w:spacing w:before="60" w:line="240" w:lineRule="auto"/>
      </w:pPr>
    </w:p>
    <w:p>
      <w:pPr>
        <w:spacing w:before="60" w:line="240" w:lineRule="auto"/>
      </w:pPr>
    </w:p>
    <w:p>
      <w:pPr>
        <w:spacing w:before="60" w:line="240" w:lineRule="auto"/>
      </w:pPr>
    </w:p>
    <w:p>
      <w:pPr>
        <w:spacing w:before="59" w:line="240" w:lineRule="auto"/>
      </w:pPr>
    </w:p>
    <w:tbl>
      <w:tblPr>
        <w:tblStyle w:val="7"/>
        <w:tblW w:w="14460" w:type="dxa"/>
        <w:tblInd w:w="1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990"/>
        <w:gridCol w:w="2610"/>
        <w:gridCol w:w="4575"/>
        <w:gridCol w:w="4410"/>
        <w:gridCol w:w="10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40" w:type="dxa"/>
            <w:vMerge w:val="restart"/>
            <w:tcBorders>
              <w:top w:val="single" w:color="auto" w:sz="4" w:space="0"/>
              <w:left w:val="single" w:color="auto" w:sz="4" w:space="0"/>
            </w:tcBorders>
            <w:vAlign w:val="top"/>
          </w:tcPr>
          <w:p>
            <w:pPr>
              <w:spacing w:line="240" w:lineRule="auto"/>
              <w:rPr>
                <w:rFonts w:ascii="Arial"/>
                <w:sz w:val="21"/>
              </w:rPr>
            </w:pPr>
          </w:p>
        </w:tc>
        <w:tc>
          <w:tcPr>
            <w:tcW w:w="990" w:type="dxa"/>
            <w:vMerge w:val="restart"/>
            <w:tcBorders>
              <w:top w:val="single" w:color="auto" w:sz="4" w:space="0"/>
            </w:tcBorders>
            <w:vAlign w:val="top"/>
          </w:tcPr>
          <w:p>
            <w:pPr>
              <w:spacing w:line="240" w:lineRule="auto"/>
              <w:rPr>
                <w:rFonts w:ascii="Arial"/>
                <w:sz w:val="21"/>
              </w:rPr>
            </w:pPr>
          </w:p>
        </w:tc>
        <w:tc>
          <w:tcPr>
            <w:tcW w:w="2610" w:type="dxa"/>
            <w:vMerge w:val="restart"/>
            <w:tcBorders>
              <w:top w:val="single" w:color="auto" w:sz="4" w:space="0"/>
            </w:tcBorders>
            <w:vAlign w:val="top"/>
          </w:tcPr>
          <w:p>
            <w:pPr>
              <w:spacing w:line="240" w:lineRule="auto"/>
              <w:rPr>
                <w:rFonts w:ascii="Arial"/>
                <w:sz w:val="21"/>
              </w:rPr>
            </w:pPr>
          </w:p>
        </w:tc>
        <w:tc>
          <w:tcPr>
            <w:tcW w:w="4575" w:type="dxa"/>
            <w:tcBorders>
              <w:top w:val="single" w:color="auto" w:sz="4" w:space="0"/>
            </w:tcBorders>
            <w:vAlign w:val="top"/>
          </w:tcPr>
          <w:p>
            <w:pPr>
              <w:pStyle w:val="6"/>
              <w:spacing w:before="89" w:line="240" w:lineRule="auto"/>
              <w:ind w:left="93"/>
            </w:pPr>
            <w:r>
              <w:t>⑤水利工程取水：0.05元/立方米。</w:t>
            </w:r>
          </w:p>
        </w:tc>
        <w:tc>
          <w:tcPr>
            <w:tcW w:w="4410" w:type="dxa"/>
            <w:vMerge w:val="restart"/>
            <w:tcBorders>
              <w:top w:val="single" w:color="auto" w:sz="4" w:space="0"/>
            </w:tcBorders>
            <w:vAlign w:val="top"/>
          </w:tcPr>
          <w:p>
            <w:pPr>
              <w:spacing w:line="240" w:lineRule="auto"/>
              <w:rPr>
                <w:rFonts w:ascii="Arial"/>
                <w:sz w:val="21"/>
              </w:rPr>
            </w:pPr>
          </w:p>
        </w:tc>
        <w:tc>
          <w:tcPr>
            <w:tcW w:w="1035" w:type="dxa"/>
            <w:vMerge w:val="restart"/>
            <w:tcBorders>
              <w:top w:val="single" w:color="auto" w:sz="4" w:space="0"/>
              <w:right w:val="single" w:color="auto" w:sz="4" w:space="0"/>
            </w:tcBorders>
            <w:vAlign w:val="top"/>
          </w:tcPr>
          <w:p>
            <w:pPr>
              <w:spacing w:line="240" w:lineRule="auto"/>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840" w:type="dxa"/>
            <w:vMerge w:val="continue"/>
            <w:tcBorders>
              <w:left w:val="single" w:color="auto" w:sz="4" w:space="0"/>
            </w:tcBorders>
            <w:vAlign w:val="top"/>
          </w:tcPr>
          <w:p>
            <w:pPr>
              <w:spacing w:line="240" w:lineRule="auto"/>
              <w:rPr>
                <w:rFonts w:ascii="Arial"/>
                <w:sz w:val="21"/>
              </w:rPr>
            </w:pPr>
          </w:p>
        </w:tc>
        <w:tc>
          <w:tcPr>
            <w:tcW w:w="990" w:type="dxa"/>
            <w:vMerge w:val="continue"/>
            <w:vAlign w:val="top"/>
          </w:tcPr>
          <w:p>
            <w:pPr>
              <w:spacing w:line="240" w:lineRule="auto"/>
              <w:rPr>
                <w:rFonts w:ascii="Arial"/>
                <w:sz w:val="21"/>
              </w:rPr>
            </w:pPr>
          </w:p>
        </w:tc>
        <w:tc>
          <w:tcPr>
            <w:tcW w:w="2610" w:type="dxa"/>
            <w:vMerge w:val="continue"/>
            <w:tcBorders>
              <w:top w:val="nil"/>
              <w:bottom w:val="nil"/>
            </w:tcBorders>
            <w:vAlign w:val="top"/>
          </w:tcPr>
          <w:p>
            <w:pPr>
              <w:spacing w:line="240" w:lineRule="auto"/>
              <w:rPr>
                <w:rFonts w:ascii="Arial"/>
                <w:sz w:val="21"/>
              </w:rPr>
            </w:pPr>
          </w:p>
        </w:tc>
        <w:tc>
          <w:tcPr>
            <w:tcW w:w="4575" w:type="dxa"/>
            <w:vAlign w:val="top"/>
          </w:tcPr>
          <w:p>
            <w:pPr>
              <w:pStyle w:val="6"/>
              <w:spacing w:before="30" w:line="240" w:lineRule="auto"/>
              <w:ind w:left="43" w:hanging="29"/>
              <w:jc w:val="both"/>
            </w:pPr>
            <w:r>
              <w:rPr>
                <w:spacing w:val="-4"/>
              </w:rPr>
              <w:t>⑥水电站取水：装机容量50兆瓦以上(含本数</w:t>
            </w:r>
            <w:r>
              <w:rPr>
                <w:spacing w:val="-5"/>
              </w:rPr>
              <w:t>)0.008</w:t>
            </w:r>
            <w:r>
              <w:rPr>
                <w:spacing w:val="-1"/>
              </w:rPr>
              <w:t>元/千瓦小时；装机容量50兆瓦以下0.005元/千瓦</w:t>
            </w:r>
            <w:r>
              <w:rPr>
                <w:spacing w:val="14"/>
              </w:rPr>
              <w:t>小时。</w:t>
            </w:r>
          </w:p>
        </w:tc>
        <w:tc>
          <w:tcPr>
            <w:tcW w:w="4410" w:type="dxa"/>
            <w:vMerge w:val="continue"/>
            <w:tcBorders>
              <w:top w:val="nil"/>
              <w:bottom w:val="nil"/>
            </w:tcBorders>
            <w:vAlign w:val="top"/>
          </w:tcPr>
          <w:p>
            <w:pPr>
              <w:spacing w:line="240" w:lineRule="auto"/>
              <w:rPr>
                <w:rFonts w:ascii="Arial"/>
                <w:sz w:val="21"/>
              </w:rPr>
            </w:pPr>
          </w:p>
        </w:tc>
        <w:tc>
          <w:tcPr>
            <w:tcW w:w="1035" w:type="dxa"/>
            <w:vMerge w:val="continue"/>
            <w:tcBorders>
              <w:top w:val="nil"/>
              <w:bottom w:val="nil"/>
              <w:right w:val="single" w:color="auto" w:sz="4" w:space="0"/>
            </w:tcBorders>
            <w:vAlign w:val="top"/>
          </w:tcPr>
          <w:p>
            <w:pPr>
              <w:spacing w:line="240" w:lineRule="auto"/>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840" w:type="dxa"/>
            <w:vMerge w:val="continue"/>
            <w:tcBorders>
              <w:left w:val="single" w:color="auto" w:sz="4" w:space="0"/>
            </w:tcBorders>
            <w:vAlign w:val="top"/>
          </w:tcPr>
          <w:p>
            <w:pPr>
              <w:spacing w:line="240" w:lineRule="auto"/>
              <w:rPr>
                <w:rFonts w:ascii="Arial"/>
                <w:sz w:val="21"/>
              </w:rPr>
            </w:pPr>
          </w:p>
        </w:tc>
        <w:tc>
          <w:tcPr>
            <w:tcW w:w="990" w:type="dxa"/>
            <w:vMerge w:val="continue"/>
            <w:vAlign w:val="top"/>
          </w:tcPr>
          <w:p>
            <w:pPr>
              <w:spacing w:line="240" w:lineRule="auto"/>
              <w:rPr>
                <w:rFonts w:ascii="Arial"/>
                <w:sz w:val="21"/>
              </w:rPr>
            </w:pPr>
          </w:p>
        </w:tc>
        <w:tc>
          <w:tcPr>
            <w:tcW w:w="2610" w:type="dxa"/>
            <w:vMerge w:val="continue"/>
            <w:tcBorders>
              <w:top w:val="nil"/>
              <w:bottom w:val="nil"/>
            </w:tcBorders>
            <w:vAlign w:val="top"/>
          </w:tcPr>
          <w:p>
            <w:pPr>
              <w:spacing w:line="240" w:lineRule="auto"/>
              <w:rPr>
                <w:rFonts w:ascii="Arial"/>
                <w:sz w:val="21"/>
              </w:rPr>
            </w:pPr>
          </w:p>
        </w:tc>
        <w:tc>
          <w:tcPr>
            <w:tcW w:w="4575" w:type="dxa"/>
            <w:vAlign w:val="top"/>
          </w:tcPr>
          <w:p>
            <w:pPr>
              <w:pStyle w:val="6"/>
              <w:spacing w:before="41" w:line="240" w:lineRule="auto"/>
              <w:ind w:left="93" w:hanging="79"/>
            </w:pPr>
            <w:r>
              <w:rPr>
                <w:spacing w:val="-1"/>
              </w:rPr>
              <w:t>⑦疏干排水取水：直接排放0.1元/立方米，再利用0.2元/立方米。</w:t>
            </w:r>
          </w:p>
        </w:tc>
        <w:tc>
          <w:tcPr>
            <w:tcW w:w="4410" w:type="dxa"/>
            <w:vMerge w:val="continue"/>
            <w:tcBorders>
              <w:top w:val="nil"/>
              <w:bottom w:val="nil"/>
            </w:tcBorders>
            <w:vAlign w:val="top"/>
          </w:tcPr>
          <w:p>
            <w:pPr>
              <w:spacing w:line="240" w:lineRule="auto"/>
              <w:rPr>
                <w:rFonts w:ascii="Arial"/>
                <w:sz w:val="21"/>
              </w:rPr>
            </w:pPr>
          </w:p>
        </w:tc>
        <w:tc>
          <w:tcPr>
            <w:tcW w:w="1035" w:type="dxa"/>
            <w:vMerge w:val="continue"/>
            <w:tcBorders>
              <w:top w:val="nil"/>
              <w:bottom w:val="nil"/>
              <w:right w:val="single" w:color="auto" w:sz="4" w:space="0"/>
            </w:tcBorders>
            <w:vAlign w:val="top"/>
          </w:tcPr>
          <w:p>
            <w:pPr>
              <w:spacing w:line="240" w:lineRule="auto"/>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6" w:hRule="atLeast"/>
        </w:trPr>
        <w:tc>
          <w:tcPr>
            <w:tcW w:w="840" w:type="dxa"/>
            <w:vMerge w:val="continue"/>
            <w:tcBorders>
              <w:left w:val="single" w:color="auto" w:sz="4" w:space="0"/>
            </w:tcBorders>
            <w:vAlign w:val="top"/>
          </w:tcPr>
          <w:p>
            <w:pPr>
              <w:spacing w:line="240" w:lineRule="auto"/>
              <w:rPr>
                <w:rFonts w:ascii="Arial"/>
                <w:sz w:val="21"/>
              </w:rPr>
            </w:pPr>
          </w:p>
        </w:tc>
        <w:tc>
          <w:tcPr>
            <w:tcW w:w="990" w:type="dxa"/>
            <w:vMerge w:val="continue"/>
            <w:vAlign w:val="top"/>
          </w:tcPr>
          <w:p>
            <w:pPr>
              <w:spacing w:line="240" w:lineRule="auto"/>
              <w:rPr>
                <w:rFonts w:ascii="Arial"/>
                <w:sz w:val="21"/>
              </w:rPr>
            </w:pPr>
          </w:p>
        </w:tc>
        <w:tc>
          <w:tcPr>
            <w:tcW w:w="2610" w:type="dxa"/>
            <w:vMerge w:val="continue"/>
            <w:tcBorders>
              <w:top w:val="nil"/>
            </w:tcBorders>
            <w:vAlign w:val="top"/>
          </w:tcPr>
          <w:p>
            <w:pPr>
              <w:spacing w:line="240" w:lineRule="auto"/>
              <w:rPr>
                <w:rFonts w:ascii="Arial"/>
                <w:sz w:val="21"/>
              </w:rPr>
            </w:pPr>
          </w:p>
        </w:tc>
        <w:tc>
          <w:tcPr>
            <w:tcW w:w="4575" w:type="dxa"/>
            <w:vAlign w:val="top"/>
          </w:tcPr>
          <w:p>
            <w:pPr>
              <w:pStyle w:val="6"/>
              <w:spacing w:before="33" w:line="240" w:lineRule="auto"/>
              <w:ind w:left="44" w:firstLine="69"/>
              <w:jc w:val="both"/>
            </w:pPr>
            <w:r>
              <w:rPr>
                <w:spacing w:val="-13"/>
              </w:rPr>
              <w:t>⑧按辽政发〔2016〕27号，公共管网</w:t>
            </w:r>
            <w:r>
              <w:rPr>
                <w:spacing w:val="-14"/>
              </w:rPr>
              <w:t>供水区，按当地</w:t>
            </w:r>
            <w:r>
              <w:rPr>
                <w:spacing w:val="-2"/>
              </w:rPr>
              <w:t>同类用途城市供水价格的1.5倍征收，水利供水区</w:t>
            </w:r>
            <w:r>
              <w:rPr>
                <w:spacing w:val="-3"/>
              </w:rPr>
              <w:t>按同类用途供水价格1.5倍征收；省属水利工程供</w:t>
            </w:r>
            <w:r>
              <w:rPr>
                <w:spacing w:val="-2"/>
              </w:rPr>
              <w:t>水价格，供给农业用水价格调整到0.1元/立方米，</w:t>
            </w:r>
            <w:r>
              <w:rPr>
                <w:spacing w:val="1"/>
              </w:rPr>
              <w:t>供给工业用水价格调整为0.91元/立方米(含水资</w:t>
            </w:r>
            <w:r>
              <w:rPr>
                <w:spacing w:val="-1"/>
              </w:rPr>
              <w:t>源费0.05元),供给城市自来水用水价格调整到</w:t>
            </w:r>
            <w:r>
              <w:t>0.91元/立方米(含水资源费0.05元)。</w:t>
            </w:r>
          </w:p>
        </w:tc>
        <w:tc>
          <w:tcPr>
            <w:tcW w:w="4410" w:type="dxa"/>
            <w:vMerge w:val="continue"/>
            <w:tcBorders>
              <w:top w:val="nil"/>
            </w:tcBorders>
            <w:vAlign w:val="top"/>
          </w:tcPr>
          <w:p>
            <w:pPr>
              <w:spacing w:line="240" w:lineRule="auto"/>
              <w:rPr>
                <w:rFonts w:ascii="Arial"/>
                <w:sz w:val="21"/>
              </w:rPr>
            </w:pPr>
          </w:p>
        </w:tc>
        <w:tc>
          <w:tcPr>
            <w:tcW w:w="1035" w:type="dxa"/>
            <w:vMerge w:val="continue"/>
            <w:tcBorders>
              <w:top w:val="nil"/>
              <w:right w:val="single" w:color="auto" w:sz="4" w:space="0"/>
            </w:tcBorders>
            <w:vAlign w:val="top"/>
          </w:tcPr>
          <w:p>
            <w:pPr>
              <w:spacing w:line="240" w:lineRule="auto"/>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8" w:hRule="atLeast"/>
        </w:trPr>
        <w:tc>
          <w:tcPr>
            <w:tcW w:w="840" w:type="dxa"/>
            <w:vMerge w:val="continue"/>
            <w:tcBorders>
              <w:left w:val="single" w:color="auto" w:sz="4" w:space="0"/>
            </w:tcBorders>
            <w:vAlign w:val="top"/>
          </w:tcPr>
          <w:p>
            <w:pPr>
              <w:spacing w:line="240" w:lineRule="auto"/>
              <w:rPr>
                <w:rFonts w:ascii="Arial"/>
                <w:sz w:val="21"/>
              </w:rPr>
            </w:pPr>
          </w:p>
        </w:tc>
        <w:tc>
          <w:tcPr>
            <w:tcW w:w="990" w:type="dxa"/>
            <w:vMerge w:val="continue"/>
            <w:vAlign w:val="top"/>
          </w:tcPr>
          <w:p>
            <w:pPr>
              <w:spacing w:line="240" w:lineRule="auto"/>
              <w:rPr>
                <w:rFonts w:ascii="Arial"/>
                <w:sz w:val="21"/>
              </w:rPr>
            </w:pPr>
          </w:p>
        </w:tc>
        <w:tc>
          <w:tcPr>
            <w:tcW w:w="2610"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62" w:line="240" w:lineRule="auto"/>
              <w:ind w:left="571"/>
            </w:pPr>
          </w:p>
          <w:p>
            <w:pPr>
              <w:pStyle w:val="6"/>
              <w:spacing w:before="62" w:line="240" w:lineRule="auto"/>
            </w:pPr>
          </w:p>
          <w:p>
            <w:pPr>
              <w:pStyle w:val="6"/>
              <w:spacing w:before="62" w:line="240" w:lineRule="auto"/>
              <w:ind w:firstLine="190" w:firstLineChars="100"/>
            </w:pPr>
            <w:r>
              <w:t>1</w:t>
            </w:r>
            <w:r>
              <w:rPr>
                <w:rFonts w:hint="eastAsia"/>
                <w:lang w:val="en-US" w:eastAsia="zh-CN"/>
              </w:rPr>
              <w:t>1</w:t>
            </w:r>
            <w:r>
              <w:t>.水土保持补偿费</w:t>
            </w:r>
          </w:p>
        </w:tc>
        <w:tc>
          <w:tcPr>
            <w:tcW w:w="4575" w:type="dxa"/>
            <w:vAlign w:val="top"/>
          </w:tcPr>
          <w:p>
            <w:pPr>
              <w:pStyle w:val="6"/>
              <w:spacing w:before="33" w:line="240" w:lineRule="auto"/>
              <w:ind w:left="93"/>
              <w:rPr>
                <w:spacing w:val="-1"/>
              </w:rPr>
            </w:pPr>
            <w:r>
              <w:rPr>
                <w:spacing w:val="-1"/>
              </w:rPr>
              <w:t>①对一般性生产建设项目和开采矿产资源建设期间，按征占用地面积一次性计征，0.5-1.0元/平方米，其中林地(无工程果园)1.0元、疏林地0.8</w:t>
            </w:r>
            <w:r>
              <w:rPr>
                <w:spacing w:val="4"/>
              </w:rPr>
              <w:t>元；草地、荒地林草覆盖率70%以上的1.0元、</w:t>
            </w:r>
            <w:r>
              <w:t>70%~30%的0.8元、30%以下的0.5元；耕地0.5元；</w:t>
            </w:r>
            <w:r>
              <w:rPr>
                <w:spacing w:val="-5"/>
              </w:rPr>
              <w:t>河滩、海滩及扰动原有路面、建筑物等0.5元。对</w:t>
            </w:r>
            <w:r>
              <w:rPr>
                <w:spacing w:val="-6"/>
              </w:rPr>
              <w:t>水利水电工程建设项目、水库淹没区不在计征范围之内。②开采矿产资源的，开采期间，石油、天然气以外的矿产资源按照产生的废弃土、石、渣</w:t>
            </w:r>
            <w:r>
              <w:rPr>
                <w:spacing w:val="-7"/>
              </w:rPr>
              <w:t>量计</w:t>
            </w:r>
            <w:r>
              <w:rPr>
                <w:spacing w:val="-5"/>
              </w:rPr>
              <w:t>征，收费标准为0.95元/立方米，石油、天然气根</w:t>
            </w:r>
            <w:r>
              <w:rPr>
                <w:spacing w:val="-2"/>
              </w:rPr>
              <w:t>据油、气生产井(不包括水井、勘探井)占地</w:t>
            </w:r>
            <w:r>
              <w:rPr>
                <w:spacing w:val="-3"/>
              </w:rPr>
              <w:t>面积</w:t>
            </w:r>
            <w:r>
              <w:rPr>
                <w:spacing w:val="-6"/>
              </w:rPr>
              <w:t>按不超过2000平方米计算；对丛式井每增加1口井，</w:t>
            </w:r>
            <w:r>
              <w:rPr>
                <w:spacing w:val="-1"/>
                <w:sz w:val="18"/>
                <w:szCs w:val="18"/>
              </w:rPr>
              <w:t>增加计征面积</w:t>
            </w:r>
          </w:p>
          <w:p>
            <w:pPr>
              <w:pStyle w:val="6"/>
              <w:spacing w:before="32" w:line="240" w:lineRule="auto"/>
              <w:ind w:left="74" w:firstLine="89"/>
              <w:rPr>
                <w:sz w:val="18"/>
                <w:szCs w:val="18"/>
              </w:rPr>
            </w:pPr>
            <w:r>
              <w:rPr>
                <w:spacing w:val="-1"/>
                <w:sz w:val="18"/>
                <w:szCs w:val="18"/>
              </w:rPr>
              <w:t>按不超过400方米计算，收费1.0元/</w:t>
            </w:r>
            <w:r>
              <w:rPr>
                <w:spacing w:val="3"/>
                <w:sz w:val="18"/>
                <w:szCs w:val="18"/>
              </w:rPr>
              <w:t>平方米.年。③取土、挖砂(河道采砂除外)</w:t>
            </w:r>
            <w:r>
              <w:rPr>
                <w:spacing w:val="2"/>
                <w:sz w:val="18"/>
                <w:szCs w:val="18"/>
              </w:rPr>
              <w:t>、采石</w:t>
            </w:r>
            <w:r>
              <w:rPr>
                <w:spacing w:val="5"/>
                <w:sz w:val="18"/>
                <w:szCs w:val="18"/>
              </w:rPr>
              <w:t>以及烧制砖、瓦、瓷、石灰的，根据取土、挖砂、</w:t>
            </w:r>
            <w:r>
              <w:rPr>
                <w:spacing w:val="2"/>
                <w:sz w:val="18"/>
                <w:szCs w:val="18"/>
              </w:rPr>
              <w:t>采石量按照0.95元/立方米计征。对缴纳义务人已</w:t>
            </w:r>
            <w:r>
              <w:rPr>
                <w:sz w:val="18"/>
                <w:szCs w:val="18"/>
              </w:rPr>
              <w:t>按前两种方式计征水土保持补偿费的，不再重复计</w:t>
            </w:r>
            <w:r>
              <w:rPr>
                <w:spacing w:val="-1"/>
                <w:sz w:val="18"/>
                <w:szCs w:val="18"/>
              </w:rPr>
              <w:t>征。④排放废弃土、石、渣的，根据土、石、渣量，</w:t>
            </w:r>
            <w:r>
              <w:rPr>
                <w:spacing w:val="2"/>
                <w:sz w:val="18"/>
                <w:szCs w:val="18"/>
              </w:rPr>
              <w:t>按照0.95元/立方米计征。对缴纳义务人已按前三</w:t>
            </w:r>
            <w:r>
              <w:rPr>
                <w:spacing w:val="1"/>
                <w:sz w:val="18"/>
                <w:szCs w:val="18"/>
              </w:rPr>
              <w:t>种方式计征水土保持补偿费的，不再重复计征。</w:t>
            </w:r>
          </w:p>
        </w:tc>
        <w:tc>
          <w:tcPr>
            <w:tcW w:w="4410"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62" w:line="240" w:lineRule="auto"/>
              <w:ind w:left="16" w:firstLine="73"/>
              <w:jc w:val="both"/>
              <w:rPr>
                <w:spacing w:val="-19"/>
              </w:rPr>
            </w:pPr>
          </w:p>
          <w:p>
            <w:pPr>
              <w:pStyle w:val="6"/>
              <w:spacing w:before="62" w:line="240" w:lineRule="auto"/>
              <w:ind w:left="16" w:firstLine="73"/>
              <w:jc w:val="both"/>
              <w:rPr>
                <w:spacing w:val="-19"/>
              </w:rPr>
            </w:pPr>
          </w:p>
          <w:p>
            <w:pPr>
              <w:pStyle w:val="6"/>
              <w:spacing w:before="62" w:line="240" w:lineRule="auto"/>
              <w:ind w:left="16" w:firstLine="73"/>
              <w:jc w:val="both"/>
              <w:rPr>
                <w:rFonts w:hint="eastAsia" w:eastAsia="宋体"/>
                <w:lang w:eastAsia="zh-CN"/>
              </w:rPr>
            </w:pPr>
            <w:r>
              <w:rPr>
                <w:spacing w:val="-19"/>
              </w:rPr>
              <w:t>《水土保持法》,财综〔2014〕8号，辽</w:t>
            </w:r>
            <w:r>
              <w:rPr>
                <w:spacing w:val="-20"/>
              </w:rPr>
              <w:t>财非[2014〕</w:t>
            </w:r>
            <w:r>
              <w:rPr>
                <w:spacing w:val="-3"/>
              </w:rPr>
              <w:t>277号，辽价发〔2018〕56号。按财税〔</w:t>
            </w:r>
            <w:r>
              <w:rPr>
                <w:spacing w:val="-4"/>
              </w:rPr>
              <w:t>2020〕</w:t>
            </w:r>
            <w:r>
              <w:rPr>
                <w:spacing w:val="1"/>
              </w:rPr>
              <w:t>58号，辽财税〔2020〕383号，自2021年1月</w:t>
            </w:r>
            <w:r>
              <w:t>1日起，划转至税务部门征收</w:t>
            </w:r>
            <w:r>
              <w:rPr>
                <w:rFonts w:hint="eastAsia"/>
                <w:lang w:eastAsia="zh-CN"/>
              </w:rPr>
              <w:t>。</w:t>
            </w:r>
          </w:p>
        </w:tc>
        <w:tc>
          <w:tcPr>
            <w:tcW w:w="1035" w:type="dxa"/>
            <w:tcBorders>
              <w:right w:val="single" w:color="auto" w:sz="4" w:space="0"/>
            </w:tcBorders>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62" w:line="240" w:lineRule="auto"/>
              <w:ind w:left="209"/>
              <w:rPr>
                <w:spacing w:val="4"/>
              </w:rPr>
            </w:pPr>
          </w:p>
          <w:p>
            <w:pPr>
              <w:pStyle w:val="6"/>
              <w:spacing w:before="62" w:line="240" w:lineRule="auto"/>
              <w:ind w:left="209"/>
              <w:rPr>
                <w:spacing w:val="4"/>
              </w:rPr>
            </w:pPr>
          </w:p>
          <w:p>
            <w:pPr>
              <w:pStyle w:val="6"/>
              <w:spacing w:before="62" w:line="240" w:lineRule="auto"/>
              <w:ind w:left="209"/>
            </w:pPr>
            <w:r>
              <w:rPr>
                <w:spacing w:val="4"/>
              </w:rPr>
              <w:t>中央</w:t>
            </w:r>
          </w:p>
        </w:tc>
      </w:tr>
    </w:tbl>
    <w:p>
      <w:pPr>
        <w:pStyle w:val="2"/>
        <w:wordWrap w:val="0"/>
        <w:spacing w:before="141" w:line="240" w:lineRule="auto"/>
        <w:ind w:left="1194"/>
        <w:jc w:val="right"/>
        <w:rPr>
          <w:spacing w:val="-3"/>
          <w:sz w:val="29"/>
          <w:szCs w:val="29"/>
        </w:rPr>
      </w:pPr>
    </w:p>
    <w:p>
      <w:pPr>
        <w:pStyle w:val="2"/>
        <w:wordWrap w:val="0"/>
        <w:spacing w:before="141" w:line="240" w:lineRule="auto"/>
        <w:ind w:left="1194"/>
        <w:jc w:val="right"/>
        <w:rPr>
          <w:rFonts w:hint="default" w:eastAsia="宋体"/>
          <w:sz w:val="29"/>
          <w:szCs w:val="29"/>
          <w:lang w:val="en-US" w:eastAsia="zh-CN"/>
        </w:rPr>
      </w:pPr>
      <w:r>
        <w:rPr>
          <w:spacing w:val="-3"/>
          <w:sz w:val="29"/>
          <w:szCs w:val="29"/>
        </w:rPr>
        <w:t>—6—</w:t>
      </w:r>
      <w:r>
        <w:rPr>
          <w:rFonts w:hint="eastAsia"/>
          <w:spacing w:val="-3"/>
          <w:sz w:val="29"/>
          <w:szCs w:val="29"/>
          <w:lang w:val="en-US" w:eastAsia="zh-CN"/>
        </w:rPr>
        <w:t xml:space="preserve">           </w:t>
      </w:r>
    </w:p>
    <w:p>
      <w:pPr>
        <w:spacing w:line="240" w:lineRule="auto"/>
        <w:rPr>
          <w:rFonts w:hint="default" w:eastAsiaTheme="minorEastAsia"/>
          <w:sz w:val="29"/>
          <w:szCs w:val="29"/>
          <w:lang w:val="en-US" w:eastAsia="zh-CN"/>
        </w:rPr>
        <w:sectPr>
          <w:headerReference r:id="rId5" w:type="default"/>
          <w:pgSz w:w="16740" w:h="11920"/>
          <w:pgMar w:top="400" w:right="695" w:bottom="400" w:left="955" w:header="0" w:footer="0" w:gutter="0"/>
          <w:cols w:space="720" w:num="1"/>
        </w:sectPr>
      </w:pPr>
      <w:r>
        <w:rPr>
          <w:rFonts w:hint="eastAsia"/>
          <w:sz w:val="29"/>
          <w:szCs w:val="29"/>
          <w:lang w:val="en-US" w:eastAsia="zh-CN"/>
        </w:rPr>
        <w:t xml:space="preserve">    </w:t>
      </w:r>
    </w:p>
    <w:p>
      <w:pPr>
        <w:pStyle w:val="2"/>
        <w:spacing w:line="240" w:lineRule="auto"/>
        <w:ind w:left="2474"/>
        <w:rPr>
          <w:sz w:val="16"/>
          <w:szCs w:val="16"/>
        </w:rPr>
      </w:pPr>
      <w:r>
        <w:rPr>
          <w:sz w:val="16"/>
          <w:szCs w:val="16"/>
        </w:rPr>
        <w:t>:</w:t>
      </w:r>
    </w:p>
    <w:p>
      <w:pPr>
        <w:spacing w:before="47" w:line="240" w:lineRule="auto"/>
      </w:pPr>
    </w:p>
    <w:p>
      <w:pPr>
        <w:spacing w:before="46" w:line="240" w:lineRule="auto"/>
      </w:pPr>
    </w:p>
    <w:p>
      <w:pPr>
        <w:spacing w:before="46" w:line="240" w:lineRule="auto"/>
      </w:pPr>
    </w:p>
    <w:p>
      <w:pPr>
        <w:spacing w:before="46" w:line="240" w:lineRule="auto"/>
      </w:pPr>
    </w:p>
    <w:p>
      <w:pPr>
        <w:spacing w:before="46" w:line="240" w:lineRule="auto"/>
      </w:pPr>
    </w:p>
    <w:tbl>
      <w:tblPr>
        <w:tblStyle w:val="7"/>
        <w:tblW w:w="14460" w:type="dxa"/>
        <w:tblInd w:w="2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990"/>
        <w:gridCol w:w="2610"/>
        <w:gridCol w:w="4575"/>
        <w:gridCol w:w="4410"/>
        <w:gridCol w:w="10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5" w:hRule="atLeast"/>
        </w:trPr>
        <w:tc>
          <w:tcPr>
            <w:tcW w:w="840" w:type="dxa"/>
            <w:vMerge w:val="restart"/>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58" w:line="240" w:lineRule="auto"/>
              <w:ind w:left="324"/>
              <w:rPr>
                <w:sz w:val="18"/>
                <w:szCs w:val="18"/>
              </w:rPr>
            </w:pPr>
          </w:p>
          <w:p>
            <w:pPr>
              <w:pStyle w:val="6"/>
              <w:spacing w:before="58" w:line="240" w:lineRule="auto"/>
              <w:ind w:left="324"/>
              <w:rPr>
                <w:sz w:val="18"/>
                <w:szCs w:val="18"/>
              </w:rPr>
            </w:pPr>
          </w:p>
          <w:p>
            <w:pPr>
              <w:pStyle w:val="6"/>
              <w:spacing w:before="58" w:line="240" w:lineRule="auto"/>
              <w:ind w:left="324"/>
              <w:rPr>
                <w:sz w:val="18"/>
                <w:szCs w:val="18"/>
              </w:rPr>
            </w:pPr>
            <w:r>
              <w:rPr>
                <w:sz w:val="18"/>
                <w:szCs w:val="18"/>
              </w:rPr>
              <w:t>七</w:t>
            </w:r>
          </w:p>
        </w:tc>
        <w:tc>
          <w:tcPr>
            <w:tcW w:w="990" w:type="dxa"/>
            <w:vMerge w:val="restart"/>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25" w:line="240" w:lineRule="auto"/>
              <w:ind w:left="280"/>
              <w:rPr>
                <w:rFonts w:hint="eastAsia"/>
                <w:spacing w:val="-3"/>
                <w:sz w:val="18"/>
                <w:szCs w:val="18"/>
                <w:lang w:val="en-US" w:eastAsia="zh-CN"/>
              </w:rPr>
            </w:pPr>
          </w:p>
          <w:p>
            <w:pPr>
              <w:pStyle w:val="6"/>
              <w:spacing w:before="25" w:line="240" w:lineRule="auto"/>
              <w:ind w:left="280"/>
              <w:rPr>
                <w:rFonts w:hint="eastAsia"/>
                <w:spacing w:val="-3"/>
                <w:sz w:val="18"/>
                <w:szCs w:val="18"/>
                <w:lang w:val="en-US" w:eastAsia="zh-CN"/>
              </w:rPr>
            </w:pPr>
          </w:p>
          <w:p>
            <w:pPr>
              <w:pStyle w:val="6"/>
              <w:spacing w:before="25" w:line="240" w:lineRule="auto"/>
              <w:ind w:left="280"/>
              <w:rPr>
                <w:rFonts w:hint="eastAsia"/>
                <w:spacing w:val="-3"/>
                <w:sz w:val="18"/>
                <w:szCs w:val="18"/>
                <w:lang w:val="en-US" w:eastAsia="zh-CN"/>
              </w:rPr>
            </w:pPr>
          </w:p>
          <w:p>
            <w:pPr>
              <w:pStyle w:val="6"/>
              <w:spacing w:before="25" w:line="240" w:lineRule="auto"/>
              <w:ind w:left="280"/>
              <w:rPr>
                <w:rFonts w:hint="eastAsia"/>
                <w:spacing w:val="-3"/>
                <w:sz w:val="18"/>
                <w:szCs w:val="18"/>
                <w:lang w:val="en-US" w:eastAsia="zh-CN"/>
              </w:rPr>
            </w:pPr>
          </w:p>
          <w:p>
            <w:pPr>
              <w:pStyle w:val="6"/>
              <w:spacing w:before="25" w:line="240" w:lineRule="auto"/>
              <w:ind w:left="280"/>
              <w:rPr>
                <w:rFonts w:hint="eastAsia" w:eastAsia="宋体"/>
                <w:sz w:val="18"/>
                <w:szCs w:val="18"/>
                <w:lang w:eastAsia="zh-CN"/>
              </w:rPr>
            </w:pPr>
            <w:r>
              <w:rPr>
                <w:rFonts w:hint="eastAsia"/>
                <w:spacing w:val="-3"/>
                <w:sz w:val="18"/>
                <w:szCs w:val="18"/>
                <w:lang w:val="en-US" w:eastAsia="zh-CN"/>
              </w:rPr>
              <w:t>住建</w:t>
            </w:r>
          </w:p>
        </w:tc>
        <w:tc>
          <w:tcPr>
            <w:tcW w:w="2610" w:type="dxa"/>
            <w:vAlign w:val="top"/>
          </w:tcPr>
          <w:p>
            <w:pPr>
              <w:spacing w:line="240" w:lineRule="auto"/>
              <w:rPr>
                <w:rFonts w:ascii="Arial"/>
                <w:sz w:val="21"/>
              </w:rPr>
            </w:pPr>
          </w:p>
          <w:p>
            <w:pPr>
              <w:pStyle w:val="6"/>
              <w:spacing w:before="62" w:line="240" w:lineRule="auto"/>
              <w:ind w:firstLine="190" w:firstLineChars="100"/>
              <w:rPr>
                <w:rFonts w:ascii="宋体" w:hAnsi="宋体" w:eastAsia="宋体" w:cs="宋体"/>
                <w:spacing w:val="-1"/>
                <w:kern w:val="2"/>
                <w:sz w:val="19"/>
                <w:szCs w:val="19"/>
                <w:lang w:val="en-US" w:eastAsia="en-US" w:bidi="ar-SA"/>
              </w:rPr>
            </w:pPr>
            <w:r>
              <w:rPr>
                <w:rFonts w:hint="eastAsia"/>
                <w:lang w:val="en-US" w:eastAsia="zh-CN"/>
              </w:rPr>
              <w:t>12</w:t>
            </w:r>
            <w:r>
              <w:t>.污水处理费</w:t>
            </w:r>
          </w:p>
        </w:tc>
        <w:tc>
          <w:tcPr>
            <w:tcW w:w="4575" w:type="dxa"/>
            <w:vAlign w:val="top"/>
          </w:tcPr>
          <w:p>
            <w:pPr>
              <w:pStyle w:val="6"/>
              <w:spacing w:before="62" w:line="240" w:lineRule="auto"/>
              <w:ind w:right="7" w:rightChars="0"/>
              <w:jc w:val="both"/>
            </w:pPr>
          </w:p>
          <w:p>
            <w:pPr>
              <w:pStyle w:val="6"/>
              <w:spacing w:before="62" w:line="240" w:lineRule="auto"/>
              <w:ind w:right="7" w:rightChars="0"/>
              <w:jc w:val="left"/>
              <w:rPr>
                <w:rFonts w:ascii="宋体" w:hAnsi="宋体" w:eastAsia="宋体" w:cs="宋体"/>
                <w:spacing w:val="-1"/>
                <w:kern w:val="2"/>
                <w:sz w:val="19"/>
                <w:szCs w:val="19"/>
                <w:lang w:val="en-US" w:eastAsia="en-US" w:bidi="ar-SA"/>
              </w:rPr>
            </w:pPr>
            <w:r>
              <w:t xml:space="preserve">居民用水类0.95元/吨；非居民用水类1.4元/吨。 </w:t>
            </w:r>
            <w:r>
              <w:rPr>
                <w:spacing w:val="-1"/>
              </w:rPr>
              <w:t>康平、法库县居民用水类0.85元/吨；非居民用水</w:t>
            </w:r>
            <w:r>
              <w:rPr>
                <w:spacing w:val="16"/>
              </w:rPr>
              <w:t xml:space="preserve"> </w:t>
            </w:r>
            <w:r>
              <w:rPr>
                <w:spacing w:val="9"/>
              </w:rPr>
              <w:t>类1.2元/吨。</w:t>
            </w:r>
          </w:p>
        </w:tc>
        <w:tc>
          <w:tcPr>
            <w:tcW w:w="4410" w:type="dxa"/>
            <w:vAlign w:val="top"/>
          </w:tcPr>
          <w:p>
            <w:pPr>
              <w:pStyle w:val="6"/>
              <w:tabs>
                <w:tab w:val="left" w:pos="3846"/>
              </w:tabs>
              <w:spacing w:before="242" w:line="240" w:lineRule="auto"/>
              <w:jc w:val="both"/>
              <w:rPr>
                <w:rFonts w:ascii="宋体" w:hAnsi="宋体" w:eastAsia="宋体" w:cs="宋体"/>
                <w:spacing w:val="-4"/>
                <w:kern w:val="2"/>
                <w:sz w:val="19"/>
                <w:szCs w:val="19"/>
                <w:lang w:val="en-US" w:eastAsia="en-US" w:bidi="ar-SA"/>
              </w:rPr>
            </w:pPr>
            <w:r>
              <w:rPr>
                <w:spacing w:val="-5"/>
              </w:rPr>
              <w:t>《水污染防治法》,《</w:t>
            </w:r>
            <w:r>
              <w:rPr>
                <w:rFonts w:hint="eastAsia"/>
                <w:spacing w:val="-5"/>
                <w:lang w:eastAsia="zh-CN"/>
              </w:rPr>
              <w:t>城镇排水与污水处理条例</w:t>
            </w:r>
            <w:r>
              <w:rPr>
                <w:spacing w:val="1"/>
              </w:rPr>
              <w:t>》,财税〔2014〕151号，发改价</w:t>
            </w:r>
            <w:r>
              <w:t>格〔2015〕</w:t>
            </w:r>
            <w:r>
              <w:rPr>
                <w:spacing w:val="1"/>
              </w:rPr>
              <w:t>119号，省政府令第235号，辽政办发</w:t>
            </w:r>
            <w:r>
              <w:t>〔2003〕</w:t>
            </w:r>
            <w:r>
              <w:rPr>
                <w:spacing w:val="-6"/>
              </w:rPr>
              <w:t>77号，辽政办发〔2008〕60号，沈价发〔2016〕</w:t>
            </w:r>
            <w:r>
              <w:rPr>
                <w:spacing w:val="-3"/>
              </w:rPr>
              <w:t>42号。</w:t>
            </w:r>
          </w:p>
        </w:tc>
        <w:tc>
          <w:tcPr>
            <w:tcW w:w="1035" w:type="dxa"/>
            <w:vAlign w:val="top"/>
          </w:tcPr>
          <w:p>
            <w:pPr>
              <w:spacing w:line="240" w:lineRule="auto"/>
              <w:rPr>
                <w:rFonts w:ascii="Arial"/>
                <w:sz w:val="21"/>
              </w:rPr>
            </w:pPr>
          </w:p>
          <w:p>
            <w:pPr>
              <w:pStyle w:val="6"/>
              <w:spacing w:before="62" w:line="240" w:lineRule="auto"/>
              <w:ind w:firstLine="198" w:firstLineChars="100"/>
              <w:rPr>
                <w:rFonts w:ascii="宋体" w:hAnsi="宋体" w:eastAsia="宋体" w:cs="宋体"/>
                <w:spacing w:val="4"/>
                <w:kern w:val="2"/>
                <w:sz w:val="19"/>
                <w:szCs w:val="19"/>
                <w:lang w:val="en-US" w:eastAsia="en-US" w:bidi="ar-SA"/>
              </w:rPr>
            </w:pPr>
            <w:r>
              <w:rPr>
                <w:spacing w:val="4"/>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5" w:hRule="atLeast"/>
        </w:trPr>
        <w:tc>
          <w:tcPr>
            <w:tcW w:w="840" w:type="dxa"/>
            <w:vMerge w:val="continue"/>
            <w:vAlign w:val="top"/>
          </w:tcPr>
          <w:p>
            <w:pPr>
              <w:pStyle w:val="6"/>
              <w:spacing w:before="58" w:line="240" w:lineRule="auto"/>
              <w:ind w:left="324"/>
              <w:rPr>
                <w:sz w:val="18"/>
                <w:szCs w:val="18"/>
              </w:rPr>
            </w:pPr>
          </w:p>
        </w:tc>
        <w:tc>
          <w:tcPr>
            <w:tcW w:w="990" w:type="dxa"/>
            <w:vMerge w:val="continue"/>
            <w:vAlign w:val="top"/>
          </w:tcPr>
          <w:p>
            <w:pPr>
              <w:pStyle w:val="6"/>
              <w:spacing w:before="25" w:line="240" w:lineRule="auto"/>
              <w:ind w:left="280"/>
              <w:rPr>
                <w:sz w:val="18"/>
                <w:szCs w:val="18"/>
              </w:rPr>
            </w:pPr>
          </w:p>
        </w:tc>
        <w:tc>
          <w:tcPr>
            <w:tcW w:w="2610"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58" w:line="240" w:lineRule="auto"/>
              <w:ind w:left="91"/>
              <w:rPr>
                <w:sz w:val="18"/>
                <w:szCs w:val="18"/>
              </w:rPr>
            </w:pPr>
            <w:r>
              <w:rPr>
                <w:sz w:val="18"/>
                <w:szCs w:val="18"/>
              </w:rPr>
              <w:t>13.城市道路占用、挖掘修复费</w:t>
            </w:r>
          </w:p>
        </w:tc>
        <w:tc>
          <w:tcPr>
            <w:tcW w:w="4575" w:type="dxa"/>
            <w:vAlign w:val="top"/>
          </w:tcPr>
          <w:p>
            <w:pPr>
              <w:pStyle w:val="6"/>
              <w:spacing w:before="45" w:line="240" w:lineRule="auto"/>
              <w:ind w:left="23" w:firstLine="89"/>
              <w:rPr>
                <w:spacing w:val="-2"/>
                <w:sz w:val="18"/>
                <w:szCs w:val="18"/>
              </w:rPr>
            </w:pPr>
          </w:p>
          <w:p>
            <w:pPr>
              <w:pStyle w:val="6"/>
              <w:spacing w:before="45" w:line="240" w:lineRule="auto"/>
              <w:ind w:left="23" w:firstLine="89"/>
              <w:jc w:val="left"/>
              <w:rPr>
                <w:sz w:val="18"/>
                <w:szCs w:val="18"/>
              </w:rPr>
            </w:pPr>
            <w:r>
              <w:rPr>
                <w:spacing w:val="-2"/>
                <w:sz w:val="18"/>
                <w:szCs w:val="18"/>
              </w:rPr>
              <w:t>城市道路占用收费标准：①繁华地区一年以内基建</w:t>
            </w:r>
            <w:r>
              <w:rPr>
                <w:spacing w:val="3"/>
                <w:sz w:val="18"/>
                <w:szCs w:val="18"/>
              </w:rPr>
              <w:t>工地占道1元/日·平米，其它占道10元/日·平米。</w:t>
            </w:r>
            <w:r>
              <w:rPr>
                <w:spacing w:val="2"/>
                <w:sz w:val="18"/>
                <w:szCs w:val="18"/>
              </w:rPr>
              <w:t>一年以上基建工地占道2元/日·平米，其它占道10</w:t>
            </w:r>
            <w:r>
              <w:rPr>
                <w:spacing w:val="4"/>
                <w:sz w:val="18"/>
                <w:szCs w:val="18"/>
              </w:rPr>
              <w:t>元/日·平米。②一级街路一年以内基建工地占道1</w:t>
            </w:r>
            <w:r>
              <w:rPr>
                <w:spacing w:val="-6"/>
                <w:sz w:val="18"/>
                <w:szCs w:val="18"/>
              </w:rPr>
              <w:t>元/日·平米，其它占道2元/日·平米。一年以上基建</w:t>
            </w:r>
            <w:r>
              <w:rPr>
                <w:spacing w:val="-1"/>
                <w:sz w:val="18"/>
                <w:szCs w:val="18"/>
              </w:rPr>
              <w:t>工地占道2元/日·平米，其它占道4元/日·平米。③</w:t>
            </w:r>
            <w:r>
              <w:rPr>
                <w:sz w:val="18"/>
                <w:szCs w:val="18"/>
              </w:rPr>
              <w:t>二级街路一年以内基建工地占道0.5元/日·平米，</w:t>
            </w:r>
            <w:r>
              <w:rPr>
                <w:spacing w:val="-4"/>
                <w:sz w:val="18"/>
                <w:szCs w:val="18"/>
              </w:rPr>
              <w:t>其它占道1元/日·平米。一年以上基建工地占道1</w:t>
            </w:r>
            <w:r>
              <w:rPr>
                <w:spacing w:val="-5"/>
                <w:sz w:val="18"/>
                <w:szCs w:val="18"/>
              </w:rPr>
              <w:t>元/日·平米，其它占道2元/日·平米。④街巷路一年</w:t>
            </w:r>
            <w:r>
              <w:rPr>
                <w:spacing w:val="3"/>
                <w:sz w:val="18"/>
                <w:szCs w:val="18"/>
              </w:rPr>
              <w:t>以内基建工地占道0.3元/日·平米，其它占道0.5</w:t>
            </w:r>
            <w:r>
              <w:rPr>
                <w:spacing w:val="-4"/>
                <w:sz w:val="18"/>
                <w:szCs w:val="18"/>
              </w:rPr>
              <w:t>元/日·平米。一年以上基建工地占道0.6元/日·平</w:t>
            </w:r>
            <w:r>
              <w:rPr>
                <w:sz w:val="18"/>
                <w:szCs w:val="18"/>
              </w:rPr>
              <w:t>米，其它占道1元/日·平米。⑤占用道路的各类停车场、市场(含摊区)0.1元/日·平米。城市道路挖</w:t>
            </w:r>
            <w:r>
              <w:rPr>
                <w:spacing w:val="1"/>
                <w:sz w:val="18"/>
                <w:szCs w:val="18"/>
              </w:rPr>
              <w:t>掘修复收费标准：①沥青路面520元/平方米。②条</w:t>
            </w:r>
            <w:r>
              <w:rPr>
                <w:sz w:val="18"/>
                <w:szCs w:val="18"/>
              </w:rPr>
              <w:t>(料)石路面500元/平方米。③水泥砼路面300元</w:t>
            </w:r>
            <w:r>
              <w:rPr>
                <w:spacing w:val="1"/>
                <w:sz w:val="18"/>
                <w:szCs w:val="18"/>
              </w:rPr>
              <w:t>/平方米。④彩色方砖230元/平方米。⑤边石、卧</w:t>
            </w:r>
            <w:r>
              <w:rPr>
                <w:sz w:val="18"/>
                <w:szCs w:val="18"/>
              </w:rPr>
              <w:t>石158元/平方米。⑥砂石路面87元/平方米。⑦土</w:t>
            </w:r>
            <w:r>
              <w:rPr>
                <w:spacing w:val="2"/>
                <w:sz w:val="18"/>
                <w:szCs w:val="18"/>
              </w:rPr>
              <w:t>路30元/平方米。⑧规划路30元/平方米。⑨人行</w:t>
            </w:r>
            <w:r>
              <w:rPr>
                <w:sz w:val="18"/>
                <w:szCs w:val="18"/>
              </w:rPr>
              <w:t>步道方砖215元/平方米。</w:t>
            </w:r>
          </w:p>
        </w:tc>
        <w:tc>
          <w:tcPr>
            <w:tcW w:w="4410"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59" w:line="240" w:lineRule="auto"/>
              <w:ind w:left="206"/>
              <w:rPr>
                <w:sz w:val="18"/>
                <w:szCs w:val="18"/>
              </w:rPr>
            </w:pPr>
            <w:r>
              <w:rPr>
                <w:sz w:val="18"/>
                <w:szCs w:val="18"/>
              </w:rPr>
              <w:t>《城市道路管理条例》(国务院令第198号)</w:t>
            </w:r>
            <w:r>
              <w:rPr>
                <w:spacing w:val="-1"/>
                <w:sz w:val="18"/>
                <w:szCs w:val="18"/>
              </w:rPr>
              <w:t>建城〔1993〕410号，财税〔2015〕68号，辽</w:t>
            </w:r>
            <w:r>
              <w:rPr>
                <w:sz w:val="18"/>
                <w:szCs w:val="18"/>
              </w:rPr>
              <w:t>建发〔1995〕53号，辽住建〔2011〕240号，</w:t>
            </w:r>
            <w:r>
              <w:rPr>
                <w:spacing w:val="-1"/>
                <w:sz w:val="18"/>
                <w:szCs w:val="18"/>
              </w:rPr>
              <w:t>辽财非〔2015〕991号，沈文城发〔1993〕8号，沈价发〔1993〕90号，辽财税〔2020〕268号。</w:t>
            </w:r>
          </w:p>
        </w:tc>
        <w:tc>
          <w:tcPr>
            <w:tcW w:w="103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6"/>
              <w:spacing w:before="59" w:line="240" w:lineRule="auto"/>
              <w:ind w:left="179"/>
              <w:rPr>
                <w:sz w:val="18"/>
                <w:szCs w:val="18"/>
              </w:rPr>
            </w:pPr>
            <w:r>
              <w:rPr>
                <w:spacing w:val="3"/>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840" w:type="dxa"/>
            <w:vMerge w:val="restart"/>
            <w:tcBorders>
              <w:bottom w:val="nil"/>
            </w:tcBorders>
            <w:vAlign w:val="top"/>
          </w:tcPr>
          <w:p>
            <w:pPr>
              <w:spacing w:line="240" w:lineRule="auto"/>
              <w:rPr>
                <w:rFonts w:ascii="Arial"/>
                <w:sz w:val="21"/>
              </w:rPr>
            </w:pPr>
          </w:p>
          <w:p>
            <w:pPr>
              <w:spacing w:line="240" w:lineRule="auto"/>
              <w:rPr>
                <w:rFonts w:ascii="Arial"/>
                <w:sz w:val="21"/>
              </w:rPr>
            </w:pPr>
          </w:p>
          <w:p>
            <w:pPr>
              <w:pStyle w:val="6"/>
              <w:spacing w:before="59" w:line="240" w:lineRule="auto"/>
              <w:ind w:firstLine="360" w:firstLineChars="200"/>
              <w:rPr>
                <w:sz w:val="18"/>
                <w:szCs w:val="18"/>
              </w:rPr>
            </w:pPr>
            <w:r>
              <w:rPr>
                <w:sz w:val="18"/>
                <w:szCs w:val="18"/>
              </w:rPr>
              <w:t>八</w:t>
            </w:r>
          </w:p>
        </w:tc>
        <w:tc>
          <w:tcPr>
            <w:tcW w:w="990" w:type="dxa"/>
            <w:vMerge w:val="restart"/>
            <w:tcBorders>
              <w:bottom w:val="nil"/>
            </w:tcBorders>
            <w:vAlign w:val="top"/>
          </w:tcPr>
          <w:p>
            <w:pPr>
              <w:spacing w:line="240" w:lineRule="auto"/>
              <w:rPr>
                <w:rFonts w:ascii="Arial"/>
                <w:sz w:val="21"/>
              </w:rPr>
            </w:pPr>
          </w:p>
          <w:p>
            <w:pPr>
              <w:spacing w:line="240" w:lineRule="auto"/>
              <w:rPr>
                <w:rFonts w:ascii="Arial"/>
                <w:sz w:val="21"/>
              </w:rPr>
            </w:pPr>
          </w:p>
          <w:p>
            <w:pPr>
              <w:pStyle w:val="6"/>
              <w:spacing w:before="59" w:line="240" w:lineRule="auto"/>
              <w:ind w:left="178" w:leftChars="85" w:right="107" w:firstLine="0" w:firstLineChars="0"/>
              <w:rPr>
                <w:sz w:val="18"/>
                <w:szCs w:val="18"/>
              </w:rPr>
            </w:pPr>
            <w:r>
              <w:rPr>
                <w:spacing w:val="2"/>
                <w:sz w:val="18"/>
                <w:szCs w:val="18"/>
              </w:rPr>
              <w:t>市场监督</w:t>
            </w:r>
            <w:r>
              <w:rPr>
                <w:spacing w:val="-3"/>
                <w:sz w:val="18"/>
                <w:szCs w:val="18"/>
              </w:rPr>
              <w:t>管理</w:t>
            </w:r>
          </w:p>
        </w:tc>
        <w:tc>
          <w:tcPr>
            <w:tcW w:w="2610" w:type="dxa"/>
            <w:vAlign w:val="top"/>
          </w:tcPr>
          <w:p>
            <w:pPr>
              <w:pStyle w:val="6"/>
              <w:spacing w:before="184" w:line="240" w:lineRule="auto"/>
              <w:ind w:left="271"/>
              <w:rPr>
                <w:sz w:val="18"/>
                <w:szCs w:val="18"/>
              </w:rPr>
            </w:pPr>
            <w:r>
              <w:rPr>
                <w:sz w:val="18"/>
                <w:szCs w:val="18"/>
              </w:rPr>
              <w:t>14.特种设备检验检测收费</w:t>
            </w:r>
          </w:p>
        </w:tc>
        <w:tc>
          <w:tcPr>
            <w:tcW w:w="4575" w:type="dxa"/>
            <w:vAlign w:val="top"/>
          </w:tcPr>
          <w:p>
            <w:pPr>
              <w:spacing w:line="240" w:lineRule="auto"/>
              <w:rPr>
                <w:rFonts w:ascii="Arial"/>
                <w:sz w:val="21"/>
              </w:rPr>
            </w:pPr>
          </w:p>
        </w:tc>
        <w:tc>
          <w:tcPr>
            <w:tcW w:w="4410" w:type="dxa"/>
            <w:vMerge w:val="restart"/>
            <w:tcBorders>
              <w:bottom w:val="nil"/>
            </w:tcBorders>
            <w:vAlign w:val="top"/>
          </w:tcPr>
          <w:p>
            <w:pPr>
              <w:spacing w:line="240" w:lineRule="auto"/>
              <w:rPr>
                <w:rFonts w:ascii="Arial"/>
                <w:sz w:val="21"/>
              </w:rPr>
            </w:pPr>
          </w:p>
          <w:p>
            <w:pPr>
              <w:spacing w:line="240" w:lineRule="auto"/>
              <w:rPr>
                <w:rFonts w:ascii="Arial"/>
                <w:sz w:val="21"/>
              </w:rPr>
            </w:pPr>
          </w:p>
          <w:p>
            <w:pPr>
              <w:pStyle w:val="6"/>
              <w:spacing w:before="59" w:line="240" w:lineRule="auto"/>
              <w:ind w:right="225"/>
              <w:rPr>
                <w:sz w:val="18"/>
                <w:szCs w:val="18"/>
              </w:rPr>
            </w:pPr>
            <w:r>
              <w:rPr>
                <w:spacing w:val="-1"/>
                <w:sz w:val="18"/>
                <w:szCs w:val="18"/>
              </w:rPr>
              <w:t>《</w:t>
            </w:r>
            <w:r>
              <w:rPr>
                <w:rFonts w:hint="eastAsia"/>
                <w:spacing w:val="-1"/>
                <w:sz w:val="18"/>
                <w:szCs w:val="18"/>
              </w:rPr>
              <w:t>中华人民共和国特种设备安全法</w:t>
            </w:r>
            <w:r>
              <w:rPr>
                <w:spacing w:val="-1"/>
                <w:sz w:val="18"/>
                <w:szCs w:val="18"/>
              </w:rPr>
              <w:t>》,《特种设备安全监察条例》,辽价发〔2017〕97号</w:t>
            </w:r>
          </w:p>
        </w:tc>
        <w:tc>
          <w:tcPr>
            <w:tcW w:w="1035" w:type="dxa"/>
            <w:vMerge w:val="restart"/>
            <w:tcBorders>
              <w:bottom w:val="nil"/>
            </w:tcBorders>
            <w:vAlign w:val="top"/>
          </w:tcPr>
          <w:p>
            <w:pPr>
              <w:spacing w:line="240" w:lineRule="auto"/>
              <w:rPr>
                <w:rFonts w:ascii="Arial"/>
                <w:sz w:val="21"/>
              </w:rPr>
            </w:pPr>
          </w:p>
          <w:p>
            <w:pPr>
              <w:spacing w:line="240" w:lineRule="auto"/>
              <w:rPr>
                <w:rFonts w:ascii="Arial"/>
                <w:sz w:val="21"/>
              </w:rPr>
            </w:pPr>
          </w:p>
          <w:p>
            <w:pPr>
              <w:pStyle w:val="6"/>
              <w:spacing w:before="59" w:line="240" w:lineRule="auto"/>
              <w:ind w:firstLine="186" w:firstLineChars="100"/>
              <w:rPr>
                <w:sz w:val="18"/>
                <w:szCs w:val="18"/>
              </w:rPr>
            </w:pPr>
            <w:r>
              <w:rPr>
                <w:spacing w:val="3"/>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840" w:type="dxa"/>
            <w:vMerge w:val="continue"/>
            <w:tcBorders>
              <w:top w:val="nil"/>
              <w:bottom w:val="nil"/>
            </w:tcBorders>
            <w:vAlign w:val="top"/>
          </w:tcPr>
          <w:p>
            <w:pPr>
              <w:rPr>
                <w:rFonts w:ascii="Arial"/>
                <w:sz w:val="21"/>
              </w:rPr>
            </w:pPr>
          </w:p>
        </w:tc>
        <w:tc>
          <w:tcPr>
            <w:tcW w:w="990" w:type="dxa"/>
            <w:vMerge w:val="continue"/>
            <w:tcBorders>
              <w:top w:val="nil"/>
              <w:bottom w:val="nil"/>
            </w:tcBorders>
            <w:vAlign w:val="top"/>
          </w:tcPr>
          <w:p>
            <w:pPr>
              <w:rPr>
                <w:rFonts w:ascii="Arial"/>
                <w:sz w:val="21"/>
              </w:rPr>
            </w:pPr>
          </w:p>
        </w:tc>
        <w:tc>
          <w:tcPr>
            <w:tcW w:w="2610" w:type="dxa"/>
            <w:vAlign w:val="top"/>
          </w:tcPr>
          <w:p>
            <w:pPr>
              <w:pStyle w:val="6"/>
              <w:spacing w:before="275" w:line="219" w:lineRule="auto"/>
              <w:ind w:left="271"/>
              <w:rPr>
                <w:sz w:val="18"/>
                <w:szCs w:val="18"/>
              </w:rPr>
            </w:pPr>
            <w:r>
              <w:rPr>
                <w:sz w:val="18"/>
                <w:szCs w:val="18"/>
              </w:rPr>
              <w:t>(1)特种设备检验检测收费</w:t>
            </w:r>
          </w:p>
        </w:tc>
        <w:tc>
          <w:tcPr>
            <w:tcW w:w="4575" w:type="dxa"/>
            <w:vAlign w:val="top"/>
          </w:tcPr>
          <w:p>
            <w:pPr>
              <w:pStyle w:val="6"/>
              <w:spacing w:before="273" w:line="218" w:lineRule="auto"/>
              <w:ind w:left="433"/>
              <w:rPr>
                <w:sz w:val="18"/>
                <w:szCs w:val="18"/>
              </w:rPr>
            </w:pPr>
            <w:r>
              <w:rPr>
                <w:sz w:val="18"/>
                <w:szCs w:val="18"/>
              </w:rPr>
              <w:t>按辽价发〔2017〕97号文件规定标准执</w:t>
            </w:r>
            <w:r>
              <w:rPr>
                <w:spacing w:val="-1"/>
                <w:sz w:val="18"/>
                <w:szCs w:val="18"/>
              </w:rPr>
              <w:t>行。</w:t>
            </w:r>
          </w:p>
        </w:tc>
        <w:tc>
          <w:tcPr>
            <w:tcW w:w="4410" w:type="dxa"/>
            <w:vMerge w:val="continue"/>
            <w:tcBorders>
              <w:top w:val="nil"/>
              <w:bottom w:val="nil"/>
            </w:tcBorders>
            <w:vAlign w:val="top"/>
          </w:tcPr>
          <w:p>
            <w:pPr>
              <w:rPr>
                <w:rFonts w:ascii="Arial"/>
                <w:sz w:val="21"/>
              </w:rPr>
            </w:pPr>
          </w:p>
        </w:tc>
        <w:tc>
          <w:tcPr>
            <w:tcW w:w="1035"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840" w:type="dxa"/>
            <w:vMerge w:val="continue"/>
            <w:tcBorders>
              <w:top w:val="nil"/>
            </w:tcBorders>
            <w:vAlign w:val="top"/>
          </w:tcPr>
          <w:p>
            <w:pPr>
              <w:rPr>
                <w:rFonts w:ascii="Arial"/>
                <w:sz w:val="21"/>
              </w:rPr>
            </w:pPr>
          </w:p>
        </w:tc>
        <w:tc>
          <w:tcPr>
            <w:tcW w:w="990" w:type="dxa"/>
            <w:vMerge w:val="continue"/>
            <w:tcBorders>
              <w:top w:val="nil"/>
            </w:tcBorders>
            <w:vAlign w:val="top"/>
          </w:tcPr>
          <w:p>
            <w:pPr>
              <w:rPr>
                <w:rFonts w:ascii="Arial"/>
                <w:sz w:val="21"/>
              </w:rPr>
            </w:pPr>
          </w:p>
        </w:tc>
        <w:tc>
          <w:tcPr>
            <w:tcW w:w="2610" w:type="dxa"/>
            <w:vAlign w:val="top"/>
          </w:tcPr>
          <w:p>
            <w:pPr>
              <w:spacing w:line="286" w:lineRule="auto"/>
              <w:rPr>
                <w:rFonts w:ascii="Arial"/>
                <w:sz w:val="21"/>
              </w:rPr>
            </w:pPr>
          </w:p>
          <w:p>
            <w:pPr>
              <w:pStyle w:val="6"/>
              <w:spacing w:before="58" w:line="219" w:lineRule="auto"/>
              <w:ind w:left="91"/>
              <w:rPr>
                <w:sz w:val="18"/>
                <w:szCs w:val="18"/>
              </w:rPr>
            </w:pPr>
            <w:r>
              <w:rPr>
                <w:sz w:val="18"/>
                <w:szCs w:val="18"/>
              </w:rPr>
              <w:t>(2)特种设备作业人员考核收费</w:t>
            </w:r>
          </w:p>
        </w:tc>
        <w:tc>
          <w:tcPr>
            <w:tcW w:w="4575" w:type="dxa"/>
            <w:vAlign w:val="top"/>
          </w:tcPr>
          <w:p>
            <w:pPr>
              <w:spacing w:line="284" w:lineRule="auto"/>
              <w:rPr>
                <w:rFonts w:ascii="Arial"/>
                <w:sz w:val="21"/>
              </w:rPr>
            </w:pPr>
          </w:p>
          <w:p>
            <w:pPr>
              <w:pStyle w:val="6"/>
              <w:spacing w:before="59" w:line="218" w:lineRule="auto"/>
              <w:ind w:left="433"/>
              <w:rPr>
                <w:sz w:val="18"/>
                <w:szCs w:val="18"/>
              </w:rPr>
            </w:pPr>
            <w:r>
              <w:rPr>
                <w:sz w:val="18"/>
                <w:szCs w:val="18"/>
              </w:rPr>
              <w:t>按辽价发〔2017〕97号文件规定标准执</w:t>
            </w:r>
            <w:r>
              <w:rPr>
                <w:spacing w:val="-1"/>
                <w:sz w:val="18"/>
                <w:szCs w:val="18"/>
              </w:rPr>
              <w:t>行。</w:t>
            </w:r>
          </w:p>
        </w:tc>
        <w:tc>
          <w:tcPr>
            <w:tcW w:w="4410" w:type="dxa"/>
            <w:vMerge w:val="continue"/>
            <w:tcBorders>
              <w:top w:val="nil"/>
            </w:tcBorders>
            <w:vAlign w:val="top"/>
          </w:tcPr>
          <w:p>
            <w:pPr>
              <w:rPr>
                <w:rFonts w:ascii="Arial"/>
                <w:sz w:val="21"/>
              </w:rPr>
            </w:pPr>
          </w:p>
        </w:tc>
        <w:tc>
          <w:tcPr>
            <w:tcW w:w="1035" w:type="dxa"/>
            <w:vMerge w:val="continue"/>
            <w:tcBorders>
              <w:top w:val="nil"/>
            </w:tcBorders>
            <w:vAlign w:val="top"/>
          </w:tcPr>
          <w:p>
            <w:pPr>
              <w:rPr>
                <w:rFonts w:ascii="Arial"/>
                <w:sz w:val="21"/>
              </w:rPr>
            </w:pPr>
          </w:p>
        </w:tc>
      </w:tr>
    </w:tbl>
    <w:p>
      <w:pPr>
        <w:pStyle w:val="2"/>
        <w:spacing w:before="96" w:line="182" w:lineRule="auto"/>
        <w:ind w:left="12865"/>
        <w:rPr>
          <w:spacing w:val="-4"/>
          <w:sz w:val="30"/>
          <w:szCs w:val="30"/>
        </w:rPr>
      </w:pPr>
    </w:p>
    <w:p>
      <w:pPr>
        <w:pStyle w:val="2"/>
        <w:spacing w:before="96" w:line="182" w:lineRule="auto"/>
        <w:ind w:left="12865"/>
        <w:rPr>
          <w:sz w:val="30"/>
          <w:szCs w:val="30"/>
        </w:rPr>
        <w:sectPr>
          <w:pgSz w:w="16740" w:h="11980"/>
          <w:pgMar w:top="82" w:right="714" w:bottom="400" w:left="915" w:header="0" w:footer="0" w:gutter="0"/>
          <w:cols w:space="720" w:num="1"/>
        </w:sectPr>
      </w:pPr>
      <w:r>
        <w:rPr>
          <w:spacing w:val="-4"/>
          <w:sz w:val="30"/>
          <w:szCs w:val="30"/>
        </w:rPr>
        <w:t>—7—</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65" w:lineRule="auto"/>
      <w:ind w:left="2514"/>
      <w:rPr>
        <w:sz w:val="10"/>
        <w:szCs w:val="10"/>
      </w:rPr>
    </w:pPr>
    <w:r>
      <w:rPr>
        <w:spacing w:val="-5"/>
        <w:sz w:val="10"/>
        <w:szCs w:val="10"/>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7C224B3F"/>
    <w:rsid w:val="1B563799"/>
    <w:rsid w:val="7C224B3F"/>
    <w:rsid w:val="DFFF7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79"/>
      <w:szCs w:val="79"/>
      <w:lang w:val="en-US" w:eastAsia="en-US" w:bidi="ar-SA"/>
    </w:rPr>
  </w:style>
  <w:style w:type="paragraph" w:styleId="3">
    <w:name w:val="footer"/>
    <w:basedOn w:val="1"/>
    <w:semiHidden/>
    <w:unhideWhenUsed/>
    <w:qFormat/>
    <w:uiPriority w:val="99"/>
    <w:pPr>
      <w:tabs>
        <w:tab w:val="center" w:pos="4153"/>
        <w:tab w:val="right" w:pos="8306"/>
      </w:tabs>
      <w:snapToGrid w:val="0"/>
      <w:jc w:val="left"/>
    </w:pPr>
    <w:rPr>
      <w:sz w:val="18"/>
      <w:szCs w:val="18"/>
    </w:rPr>
  </w:style>
  <w:style w:type="paragraph" w:customStyle="1" w:styleId="6">
    <w:name w:val="Table Text"/>
    <w:basedOn w:val="1"/>
    <w:semiHidden/>
    <w:qFormat/>
    <w:uiPriority w:val="0"/>
    <w:rPr>
      <w:rFonts w:ascii="宋体" w:hAnsi="宋体" w:eastAsia="宋体" w:cs="宋体"/>
      <w:sz w:val="19"/>
      <w:szCs w:val="19"/>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4386</Words>
  <Characters>5061</Characters>
  <Lines>0</Lines>
  <Paragraphs>0</Paragraphs>
  <TotalTime>1</TotalTime>
  <ScaleCrop>false</ScaleCrop>
  <LinksUpToDate>false</LinksUpToDate>
  <CharactersWithSpaces>5092</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2024-07-03T15:10:00Z</dcterms:created>
  <dc:creator>Administrator</dc:creator>
  <cp:lastModifiedBy>admin1</cp:lastModifiedBy>
  <dcterms:modified xsi:type="dcterms:W3CDTF">2024-11-29T16:28:10Z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914859D4891644A9B71F69758C1AB7E1_11</vt:lpwstr>
  </property>
</Properties>
</file>