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B17206A">
      <w:pPr>
        <w:spacing w:line="320" w:lineRule="exact"/>
        <w:ind w:firstLine="800"/>
        <w:jc w:val="right"/>
        <w:rPr>
          <w:rFonts w:eastAsia="方正小标宋简体" w:cs="方正小标宋_GBK"/>
          <w:sz w:val="40"/>
          <w:szCs w:val="40"/>
        </w:rPr>
      </w:pPr>
    </w:p>
    <w:p w14:paraId="70E41548">
      <w:pPr>
        <w:spacing w:line="320" w:lineRule="exact"/>
        <w:ind w:firstLine="800"/>
        <w:jc w:val="right"/>
        <w:rPr>
          <w:rFonts w:eastAsia="方正小标宋简体" w:cs="方正小标宋_GBK"/>
          <w:sz w:val="40"/>
          <w:szCs w:val="40"/>
        </w:rPr>
      </w:pPr>
    </w:p>
    <w:p w14:paraId="1314D9D7">
      <w:pPr>
        <w:ind w:firstLine="800"/>
        <w:jc w:val="center"/>
        <w:rPr>
          <w:rFonts w:eastAsia="方正小标宋简体" w:cs="方正小标宋_GBK"/>
          <w:sz w:val="40"/>
          <w:szCs w:val="40"/>
        </w:rPr>
      </w:pPr>
    </w:p>
    <w:p w14:paraId="2D4DFD39">
      <w:pPr>
        <w:ind w:firstLine="800"/>
        <w:jc w:val="center"/>
        <w:rPr>
          <w:rFonts w:eastAsia="方正小标宋简体" w:cs="方正小标宋_GBK"/>
          <w:sz w:val="40"/>
          <w:szCs w:val="40"/>
        </w:rPr>
      </w:pPr>
    </w:p>
    <w:p w14:paraId="46173826">
      <w:pPr>
        <w:ind w:firstLine="800"/>
        <w:jc w:val="center"/>
        <w:rPr>
          <w:rFonts w:eastAsia="方正小标宋简体" w:cs="方正小标宋_GBK"/>
          <w:sz w:val="40"/>
          <w:szCs w:val="40"/>
        </w:rPr>
      </w:pPr>
    </w:p>
    <w:p w14:paraId="443DB2DF">
      <w:pPr>
        <w:ind w:firstLine="800"/>
        <w:jc w:val="center"/>
        <w:rPr>
          <w:rFonts w:eastAsia="方正小标宋简体" w:cs="方正小标宋_GBK"/>
          <w:sz w:val="40"/>
          <w:szCs w:val="40"/>
        </w:rPr>
      </w:pPr>
    </w:p>
    <w:p w14:paraId="1B93FC75">
      <w:pPr>
        <w:ind w:firstLine="0" w:firstLineChars="0"/>
        <w:jc w:val="center"/>
        <w:rPr>
          <w:rFonts w:eastAsia="宋体" w:cs="宋体"/>
          <w:b/>
          <w:bCs/>
          <w:sz w:val="44"/>
          <w:szCs w:val="44"/>
        </w:rPr>
      </w:pPr>
      <w:bookmarkStart w:id="0" w:name="OLE_LINK11"/>
      <w:r>
        <w:rPr>
          <w:rFonts w:hint="eastAsia" w:eastAsia="宋体" w:cs="宋体"/>
          <w:b/>
          <w:bCs/>
          <w:sz w:val="44"/>
          <w:szCs w:val="44"/>
        </w:rPr>
        <w:t>康平县国民经济和社会发展</w:t>
      </w:r>
    </w:p>
    <w:p w14:paraId="1939BC0A">
      <w:pPr>
        <w:ind w:firstLine="0" w:firstLineChars="0"/>
        <w:jc w:val="center"/>
        <w:rPr>
          <w:rFonts w:eastAsia="方正小标宋简体" w:cs="方正小标宋_GBK"/>
          <w:sz w:val="40"/>
          <w:szCs w:val="40"/>
        </w:rPr>
      </w:pPr>
      <w:r>
        <w:rPr>
          <w:rFonts w:hint="eastAsia" w:eastAsia="宋体" w:cs="宋体"/>
          <w:b/>
          <w:bCs/>
          <w:sz w:val="44"/>
          <w:szCs w:val="44"/>
        </w:rPr>
        <w:t>第十五个五年规划纲要</w:t>
      </w:r>
      <w:bookmarkEnd w:id="0"/>
    </w:p>
    <w:p w14:paraId="241A9C9A">
      <w:pPr>
        <w:ind w:firstLine="0" w:firstLineChars="0"/>
        <w:jc w:val="center"/>
        <w:rPr>
          <w:rFonts w:eastAsia="楷体_GB2312" w:cs="楷体_GB2312"/>
          <w:b/>
          <w:bCs/>
          <w:sz w:val="40"/>
          <w:szCs w:val="40"/>
        </w:rPr>
      </w:pPr>
    </w:p>
    <w:p w14:paraId="357F15AB">
      <w:pPr>
        <w:ind w:firstLine="0" w:firstLineChars="0"/>
        <w:jc w:val="center"/>
        <w:rPr>
          <w:rFonts w:eastAsia="方正小标宋简体" w:cs="方正小标宋_GBK"/>
          <w:sz w:val="40"/>
          <w:szCs w:val="40"/>
        </w:rPr>
      </w:pPr>
    </w:p>
    <w:p w14:paraId="3C7A5144">
      <w:pPr>
        <w:ind w:firstLine="800"/>
        <w:jc w:val="center"/>
        <w:rPr>
          <w:rFonts w:eastAsia="方正小标宋简体" w:cs="方正小标宋_GBK"/>
          <w:sz w:val="40"/>
          <w:szCs w:val="40"/>
        </w:rPr>
      </w:pPr>
    </w:p>
    <w:p w14:paraId="589E0B95">
      <w:pPr>
        <w:ind w:firstLine="800"/>
        <w:jc w:val="center"/>
        <w:rPr>
          <w:rFonts w:eastAsia="方正小标宋简体" w:cs="方正小标宋_GBK"/>
          <w:sz w:val="40"/>
          <w:szCs w:val="40"/>
        </w:rPr>
      </w:pPr>
    </w:p>
    <w:p w14:paraId="1751CA73">
      <w:pPr>
        <w:ind w:firstLine="800"/>
        <w:jc w:val="center"/>
        <w:rPr>
          <w:rFonts w:eastAsia="方正小标宋简体" w:cs="方正小标宋_GBK"/>
          <w:sz w:val="40"/>
          <w:szCs w:val="40"/>
        </w:rPr>
      </w:pPr>
    </w:p>
    <w:p w14:paraId="5A18E8AA">
      <w:pPr>
        <w:ind w:firstLine="800"/>
        <w:jc w:val="center"/>
        <w:rPr>
          <w:rFonts w:eastAsia="方正小标宋简体" w:cs="方正小标宋_GBK"/>
          <w:sz w:val="40"/>
          <w:szCs w:val="40"/>
        </w:rPr>
      </w:pPr>
    </w:p>
    <w:p w14:paraId="1E4691FE">
      <w:pPr>
        <w:ind w:firstLine="800"/>
        <w:jc w:val="center"/>
        <w:rPr>
          <w:rFonts w:eastAsia="方正小标宋简体" w:cs="方正小标宋_GBK"/>
          <w:sz w:val="40"/>
          <w:szCs w:val="40"/>
        </w:rPr>
      </w:pPr>
    </w:p>
    <w:p w14:paraId="217BBC99">
      <w:pPr>
        <w:ind w:firstLine="800"/>
        <w:jc w:val="center"/>
        <w:rPr>
          <w:rFonts w:eastAsia="方正小标宋简体" w:cs="方正小标宋_GBK"/>
          <w:sz w:val="40"/>
          <w:szCs w:val="40"/>
        </w:rPr>
      </w:pPr>
    </w:p>
    <w:p w14:paraId="7C76D3C3">
      <w:pPr>
        <w:ind w:firstLine="800"/>
        <w:jc w:val="center"/>
        <w:rPr>
          <w:rFonts w:eastAsia="方正小标宋简体" w:cs="方正小标宋_GBK"/>
          <w:sz w:val="40"/>
          <w:szCs w:val="40"/>
        </w:rPr>
      </w:pPr>
    </w:p>
    <w:p w14:paraId="601C976C">
      <w:pPr>
        <w:ind w:firstLine="800"/>
        <w:jc w:val="center"/>
        <w:rPr>
          <w:rFonts w:eastAsia="方正小标宋简体" w:cs="方正小标宋_GBK"/>
          <w:sz w:val="40"/>
          <w:szCs w:val="40"/>
        </w:rPr>
      </w:pPr>
    </w:p>
    <w:p w14:paraId="037A75C8">
      <w:pPr>
        <w:ind w:firstLine="800"/>
        <w:jc w:val="center"/>
        <w:rPr>
          <w:rFonts w:eastAsia="方正小标宋简体" w:cs="方正小标宋_GBK"/>
          <w:sz w:val="40"/>
          <w:szCs w:val="40"/>
        </w:rPr>
      </w:pPr>
    </w:p>
    <w:p w14:paraId="2634B252">
      <w:pPr>
        <w:ind w:firstLine="800"/>
        <w:jc w:val="center"/>
        <w:rPr>
          <w:rFonts w:eastAsia="方正小标宋简体" w:cs="方正小标宋_GBK"/>
          <w:sz w:val="40"/>
          <w:szCs w:val="40"/>
        </w:rPr>
      </w:pPr>
    </w:p>
    <w:p w14:paraId="4759BE64">
      <w:pPr>
        <w:ind w:firstLine="0" w:firstLineChars="0"/>
        <w:jc w:val="center"/>
        <w:rPr>
          <w:b/>
          <w:szCs w:val="32"/>
        </w:rPr>
      </w:pPr>
    </w:p>
    <w:p w14:paraId="0B728AAF">
      <w:pPr>
        <w:ind w:firstLine="0" w:firstLineChars="0"/>
        <w:jc w:val="center"/>
        <w:rPr>
          <w:rFonts w:ascii="楷体" w:hAnsi="楷体" w:eastAsia="楷体"/>
          <w:szCs w:val="32"/>
        </w:rPr>
      </w:pPr>
      <w:r>
        <w:rPr>
          <w:rFonts w:hint="eastAsia" w:ascii="楷体" w:hAnsi="楷体" w:eastAsia="楷体"/>
          <w:szCs w:val="32"/>
        </w:rPr>
        <w:t>康平县人民政府</w:t>
      </w:r>
    </w:p>
    <w:p w14:paraId="33A40899">
      <w:pPr>
        <w:ind w:firstLine="0" w:firstLineChars="0"/>
        <w:jc w:val="center"/>
        <w:rPr>
          <w:szCs w:val="32"/>
        </w:rPr>
      </w:pPr>
      <w:r>
        <w:rPr>
          <w:rFonts w:eastAsia="楷体" w:cs="Times New Roman"/>
          <w:szCs w:val="32"/>
        </w:rPr>
        <w:t>202</w:t>
      </w:r>
      <w:r>
        <w:rPr>
          <w:rFonts w:hint="eastAsia" w:eastAsia="楷体" w:cs="Times New Roman"/>
          <w:szCs w:val="32"/>
          <w:lang w:val="en-US" w:eastAsia="zh-CN"/>
        </w:rPr>
        <w:t>5</w:t>
      </w:r>
      <w:r>
        <w:rPr>
          <w:rFonts w:hint="eastAsia" w:ascii="楷体" w:hAnsi="楷体" w:eastAsia="楷体"/>
          <w:szCs w:val="32"/>
        </w:rPr>
        <w:t>年</w:t>
      </w:r>
      <w:r>
        <w:rPr>
          <w:rFonts w:hint="eastAsia" w:ascii="楷体" w:hAnsi="楷体" w:eastAsia="楷体"/>
          <w:szCs w:val="32"/>
          <w:lang w:val="en-US" w:eastAsia="zh-CN"/>
        </w:rPr>
        <w:t>12</w:t>
      </w:r>
      <w:r>
        <w:rPr>
          <w:rFonts w:hint="eastAsia" w:ascii="楷体" w:hAnsi="楷体" w:eastAsia="楷体"/>
          <w:szCs w:val="32"/>
        </w:rPr>
        <w:t>月</w:t>
      </w:r>
    </w:p>
    <w:p w14:paraId="56D9FBB1">
      <w:pPr>
        <w:ind w:firstLine="0" w:firstLineChars="0"/>
        <w:jc w:val="center"/>
        <w:rPr>
          <w:b/>
          <w:szCs w:val="32"/>
        </w:rPr>
      </w:pPr>
    </w:p>
    <w:p w14:paraId="5D81F6DA">
      <w:pPr>
        <w:ind w:firstLine="883"/>
        <w:jc w:val="center"/>
        <w:rPr>
          <w:b/>
          <w:bCs/>
          <w:sz w:val="44"/>
          <w:szCs w:val="44"/>
        </w:rPr>
      </w:pPr>
    </w:p>
    <w:p w14:paraId="1C93BC53">
      <w:pPr>
        <w:ind w:firstLine="883"/>
        <w:jc w:val="center"/>
        <w:rPr>
          <w:b/>
          <w:bCs/>
          <w:sz w:val="44"/>
          <w:szCs w:val="44"/>
        </w:rPr>
      </w:pPr>
    </w:p>
    <w:p w14:paraId="582BC2AB">
      <w:pPr>
        <w:ind w:firstLine="883"/>
        <w:jc w:val="center"/>
        <w:rPr>
          <w:b/>
          <w:bCs/>
          <w:sz w:val="44"/>
          <w:szCs w:val="44"/>
        </w:rPr>
      </w:pPr>
    </w:p>
    <w:p w14:paraId="09246559">
      <w:pPr>
        <w:ind w:firstLine="883"/>
        <w:jc w:val="center"/>
        <w:rPr>
          <w:b/>
          <w:bCs/>
          <w:sz w:val="44"/>
          <w:szCs w:val="44"/>
        </w:rPr>
      </w:pPr>
    </w:p>
    <w:p w14:paraId="71D6E6CE">
      <w:pPr>
        <w:ind w:firstLine="883"/>
        <w:jc w:val="center"/>
        <w:rPr>
          <w:b/>
          <w:bCs/>
          <w:sz w:val="44"/>
          <w:szCs w:val="44"/>
        </w:rPr>
      </w:pPr>
    </w:p>
    <w:p w14:paraId="7F84EC2E">
      <w:pPr>
        <w:ind w:firstLine="883"/>
        <w:jc w:val="center"/>
        <w:rPr>
          <w:b/>
          <w:bCs/>
          <w:sz w:val="44"/>
          <w:szCs w:val="44"/>
        </w:rPr>
      </w:pPr>
    </w:p>
    <w:p w14:paraId="31AAC8A8">
      <w:pPr>
        <w:ind w:firstLine="883"/>
        <w:jc w:val="center"/>
        <w:rPr>
          <w:b/>
          <w:bCs/>
          <w:sz w:val="44"/>
          <w:szCs w:val="44"/>
        </w:rPr>
      </w:pPr>
    </w:p>
    <w:p w14:paraId="2A69D99A">
      <w:pPr>
        <w:ind w:firstLine="883"/>
        <w:jc w:val="center"/>
        <w:rPr>
          <w:b/>
          <w:bCs/>
          <w:sz w:val="44"/>
          <w:szCs w:val="44"/>
        </w:rPr>
      </w:pPr>
    </w:p>
    <w:p w14:paraId="7103A9BF">
      <w:pPr>
        <w:ind w:firstLine="883"/>
        <w:jc w:val="center"/>
        <w:rPr>
          <w:b/>
          <w:bCs/>
          <w:sz w:val="44"/>
          <w:szCs w:val="44"/>
        </w:rPr>
      </w:pPr>
    </w:p>
    <w:p w14:paraId="7ED581D3">
      <w:pPr>
        <w:ind w:firstLine="883"/>
        <w:jc w:val="center"/>
        <w:rPr>
          <w:b/>
          <w:bCs/>
          <w:sz w:val="44"/>
          <w:szCs w:val="44"/>
        </w:rPr>
      </w:pPr>
    </w:p>
    <w:p w14:paraId="31A9558F">
      <w:pPr>
        <w:ind w:firstLine="883"/>
        <w:jc w:val="center"/>
        <w:rPr>
          <w:b/>
          <w:bCs/>
          <w:sz w:val="44"/>
          <w:szCs w:val="44"/>
        </w:rPr>
      </w:pPr>
    </w:p>
    <w:p w14:paraId="1FBC1875">
      <w:pPr>
        <w:ind w:firstLine="883"/>
        <w:jc w:val="center"/>
        <w:rPr>
          <w:b/>
          <w:bCs/>
          <w:sz w:val="44"/>
          <w:szCs w:val="44"/>
        </w:rPr>
      </w:pPr>
    </w:p>
    <w:p w14:paraId="2854E77F">
      <w:pPr>
        <w:ind w:firstLine="883"/>
        <w:jc w:val="center"/>
        <w:rPr>
          <w:b/>
          <w:bCs/>
          <w:sz w:val="44"/>
          <w:szCs w:val="44"/>
        </w:rPr>
        <w:sectPr>
          <w:headerReference r:id="rId7" w:type="first"/>
          <w:footerReference r:id="rId10" w:type="first"/>
          <w:headerReference r:id="rId5" w:type="default"/>
          <w:footerReference r:id="rId8" w:type="default"/>
          <w:headerReference r:id="rId6" w:type="even"/>
          <w:footerReference r:id="rId9" w:type="even"/>
          <w:pgSz w:w="11906" w:h="16838"/>
          <w:pgMar w:top="1440" w:right="1800" w:bottom="1440" w:left="1800" w:header="851" w:footer="992" w:gutter="0"/>
          <w:cols w:space="425" w:num="1"/>
          <w:docGrid w:type="lines" w:linePitch="312" w:charSpace="0"/>
        </w:sectPr>
      </w:pPr>
    </w:p>
    <w:p w14:paraId="3A636BD6">
      <w:pPr>
        <w:pStyle w:val="12"/>
      </w:pPr>
      <w:r>
        <w:rPr>
          <w:rFonts w:hint="eastAsia"/>
        </w:rPr>
        <w:t>目</w:t>
      </w:r>
      <w:r>
        <w:t xml:space="preserve">   </w:t>
      </w:r>
      <w:r>
        <w:rPr>
          <w:rFonts w:hint="eastAsia"/>
        </w:rPr>
        <w:t>录</w:t>
      </w:r>
    </w:p>
    <w:p w14:paraId="43EBF02A">
      <w:pPr>
        <w:pStyle w:val="12"/>
        <w:rPr>
          <w:rFonts w:asciiTheme="minorHAnsi" w:hAnsiTheme="minorHAnsi" w:eastAsiaTheme="minorEastAsia"/>
          <w:sz w:val="21"/>
          <w:szCs w:val="22"/>
        </w:rPr>
      </w:pPr>
      <w:r>
        <w:rPr>
          <w:b/>
          <w:bCs/>
          <w:sz w:val="44"/>
          <w:szCs w:val="44"/>
        </w:rPr>
        <w:fldChar w:fldCharType="begin"/>
      </w:r>
      <w:r>
        <w:rPr>
          <w:b/>
          <w:bCs/>
          <w:sz w:val="44"/>
          <w:szCs w:val="44"/>
        </w:rPr>
        <w:instrText xml:space="preserve"> TOC \o "1-3" \h \z \u </w:instrText>
      </w:r>
      <w:r>
        <w:rPr>
          <w:b/>
          <w:bCs/>
          <w:sz w:val="44"/>
          <w:szCs w:val="44"/>
        </w:rPr>
        <w:fldChar w:fldCharType="separate"/>
      </w:r>
      <w:r>
        <w:fldChar w:fldCharType="begin"/>
      </w:r>
      <w:r>
        <w:instrText xml:space="preserve"> HYPERLINK \l "_Toc237336642" </w:instrText>
      </w:r>
      <w:r>
        <w:fldChar w:fldCharType="separate"/>
      </w:r>
      <w:r>
        <w:rPr>
          <w:rStyle w:val="21"/>
          <w:bCs/>
        </w:rPr>
        <w:t>第一章 康平全面振兴发展开创新局面</w:t>
      </w:r>
      <w:r>
        <w:tab/>
      </w:r>
      <w:r>
        <w:fldChar w:fldCharType="begin"/>
      </w:r>
      <w:r>
        <w:instrText xml:space="preserve"> PAGEREF _Toc237336642 \h </w:instrText>
      </w:r>
      <w:r>
        <w:fldChar w:fldCharType="separate"/>
      </w:r>
      <w:r>
        <w:t>1</w:t>
      </w:r>
      <w:r>
        <w:fldChar w:fldCharType="end"/>
      </w:r>
      <w:r>
        <w:fldChar w:fldCharType="end"/>
      </w:r>
    </w:p>
    <w:p w14:paraId="286C712C">
      <w:pPr>
        <w:pStyle w:val="13"/>
        <w:rPr>
          <w:rFonts w:asciiTheme="minorHAnsi" w:hAnsiTheme="minorHAnsi" w:eastAsiaTheme="minorEastAsia"/>
          <w:sz w:val="21"/>
          <w:szCs w:val="22"/>
        </w:rPr>
      </w:pPr>
      <w:r>
        <w:fldChar w:fldCharType="begin"/>
      </w:r>
      <w:r>
        <w:instrText xml:space="preserve"> HYPERLINK \l "_Toc237336643" </w:instrText>
      </w:r>
      <w:r>
        <w:fldChar w:fldCharType="separate"/>
      </w:r>
      <w:r>
        <w:rPr>
          <w:rStyle w:val="21"/>
        </w:rPr>
        <w:t>第一节 “十四五”经济社会发展取得显著成就</w:t>
      </w:r>
      <w:r>
        <w:tab/>
      </w:r>
      <w:r>
        <w:fldChar w:fldCharType="begin"/>
      </w:r>
      <w:r>
        <w:instrText xml:space="preserve"> PAGEREF _Toc237336643 \h </w:instrText>
      </w:r>
      <w:r>
        <w:fldChar w:fldCharType="separate"/>
      </w:r>
      <w:r>
        <w:t>1</w:t>
      </w:r>
      <w:r>
        <w:fldChar w:fldCharType="end"/>
      </w:r>
      <w:r>
        <w:fldChar w:fldCharType="end"/>
      </w:r>
    </w:p>
    <w:p w14:paraId="675006DC">
      <w:pPr>
        <w:pStyle w:val="13"/>
        <w:rPr>
          <w:rFonts w:asciiTheme="minorHAnsi" w:hAnsiTheme="minorHAnsi" w:eastAsiaTheme="minorEastAsia"/>
          <w:sz w:val="21"/>
          <w:szCs w:val="22"/>
        </w:rPr>
      </w:pPr>
      <w:r>
        <w:fldChar w:fldCharType="begin"/>
      </w:r>
      <w:r>
        <w:instrText xml:space="preserve"> HYPERLINK \l "_Toc237336644" </w:instrText>
      </w:r>
      <w:r>
        <w:fldChar w:fldCharType="separate"/>
      </w:r>
      <w:r>
        <w:rPr>
          <w:rStyle w:val="21"/>
        </w:rPr>
        <w:t>第二节 “十五五”时期发展面临新机遇与挑战</w:t>
      </w:r>
      <w:r>
        <w:tab/>
      </w:r>
      <w:r>
        <w:fldChar w:fldCharType="begin"/>
      </w:r>
      <w:r>
        <w:instrText xml:space="preserve"> PAGEREF _Toc237336644 \h </w:instrText>
      </w:r>
      <w:r>
        <w:fldChar w:fldCharType="separate"/>
      </w:r>
      <w:r>
        <w:t>7</w:t>
      </w:r>
      <w:r>
        <w:fldChar w:fldCharType="end"/>
      </w:r>
      <w:r>
        <w:fldChar w:fldCharType="end"/>
      </w:r>
    </w:p>
    <w:p w14:paraId="48ABD714">
      <w:pPr>
        <w:pStyle w:val="12"/>
        <w:rPr>
          <w:rFonts w:asciiTheme="minorHAnsi" w:hAnsiTheme="minorHAnsi" w:eastAsiaTheme="minorEastAsia"/>
          <w:sz w:val="21"/>
          <w:szCs w:val="22"/>
        </w:rPr>
      </w:pPr>
      <w:r>
        <w:fldChar w:fldCharType="begin"/>
      </w:r>
      <w:r>
        <w:instrText xml:space="preserve"> HYPERLINK \l "_Toc237336645" </w:instrText>
      </w:r>
      <w:r>
        <w:fldChar w:fldCharType="separate"/>
      </w:r>
      <w:r>
        <w:rPr>
          <w:rStyle w:val="21"/>
          <w:bCs/>
        </w:rPr>
        <w:t>第二章 开启中国式现代化康平实践新篇章</w:t>
      </w:r>
      <w:r>
        <w:tab/>
      </w:r>
      <w:r>
        <w:fldChar w:fldCharType="begin"/>
      </w:r>
      <w:r>
        <w:instrText xml:space="preserve"> PAGEREF _Toc237336645 \h </w:instrText>
      </w:r>
      <w:r>
        <w:fldChar w:fldCharType="separate"/>
      </w:r>
      <w:r>
        <w:t>10</w:t>
      </w:r>
      <w:r>
        <w:fldChar w:fldCharType="end"/>
      </w:r>
      <w:r>
        <w:fldChar w:fldCharType="end"/>
      </w:r>
    </w:p>
    <w:p w14:paraId="6F8395DC">
      <w:pPr>
        <w:pStyle w:val="13"/>
        <w:rPr>
          <w:rFonts w:asciiTheme="minorHAnsi" w:hAnsiTheme="minorHAnsi" w:eastAsiaTheme="minorEastAsia"/>
          <w:sz w:val="21"/>
          <w:szCs w:val="22"/>
        </w:rPr>
      </w:pPr>
      <w:r>
        <w:fldChar w:fldCharType="begin"/>
      </w:r>
      <w:r>
        <w:instrText xml:space="preserve"> HYPERLINK \l "_Toc237336646" </w:instrText>
      </w:r>
      <w:r>
        <w:fldChar w:fldCharType="separate"/>
      </w:r>
      <w:r>
        <w:rPr>
          <w:rStyle w:val="21"/>
        </w:rPr>
        <w:t>第一节 指导思想</w:t>
      </w:r>
      <w:r>
        <w:tab/>
      </w:r>
      <w:r>
        <w:fldChar w:fldCharType="begin"/>
      </w:r>
      <w:r>
        <w:instrText xml:space="preserve"> PAGEREF _Toc237336646 \h </w:instrText>
      </w:r>
      <w:r>
        <w:fldChar w:fldCharType="separate"/>
      </w:r>
      <w:r>
        <w:t>10</w:t>
      </w:r>
      <w:r>
        <w:fldChar w:fldCharType="end"/>
      </w:r>
      <w:r>
        <w:fldChar w:fldCharType="end"/>
      </w:r>
    </w:p>
    <w:p w14:paraId="6270CC9A">
      <w:pPr>
        <w:pStyle w:val="13"/>
        <w:rPr>
          <w:rFonts w:asciiTheme="minorHAnsi" w:hAnsiTheme="minorHAnsi" w:eastAsiaTheme="minorEastAsia"/>
          <w:sz w:val="21"/>
          <w:szCs w:val="22"/>
        </w:rPr>
      </w:pPr>
      <w:r>
        <w:fldChar w:fldCharType="begin"/>
      </w:r>
      <w:r>
        <w:instrText xml:space="preserve"> HYPERLINK \l "_Toc237336647" </w:instrText>
      </w:r>
      <w:r>
        <w:fldChar w:fldCharType="separate"/>
      </w:r>
      <w:r>
        <w:rPr>
          <w:rStyle w:val="21"/>
        </w:rPr>
        <w:t>第二节 基本原则</w:t>
      </w:r>
      <w:r>
        <w:tab/>
      </w:r>
      <w:r>
        <w:fldChar w:fldCharType="begin"/>
      </w:r>
      <w:r>
        <w:instrText xml:space="preserve"> PAGEREF _Toc237336647 \h </w:instrText>
      </w:r>
      <w:r>
        <w:fldChar w:fldCharType="separate"/>
      </w:r>
      <w:r>
        <w:t>10</w:t>
      </w:r>
      <w:r>
        <w:fldChar w:fldCharType="end"/>
      </w:r>
      <w:r>
        <w:fldChar w:fldCharType="end"/>
      </w:r>
    </w:p>
    <w:p w14:paraId="5307D162">
      <w:pPr>
        <w:pStyle w:val="13"/>
        <w:rPr>
          <w:rFonts w:asciiTheme="minorHAnsi" w:hAnsiTheme="minorHAnsi" w:eastAsiaTheme="minorEastAsia"/>
          <w:sz w:val="21"/>
          <w:szCs w:val="22"/>
        </w:rPr>
      </w:pPr>
      <w:r>
        <w:fldChar w:fldCharType="begin"/>
      </w:r>
      <w:r>
        <w:instrText xml:space="preserve"> HYPERLINK \l "_Toc237336648" </w:instrText>
      </w:r>
      <w:r>
        <w:fldChar w:fldCharType="separate"/>
      </w:r>
      <w:r>
        <w:rPr>
          <w:rStyle w:val="21"/>
        </w:rPr>
        <w:t>第三节 发展目标</w:t>
      </w:r>
      <w:r>
        <w:tab/>
      </w:r>
      <w:r>
        <w:fldChar w:fldCharType="begin"/>
      </w:r>
      <w:r>
        <w:instrText xml:space="preserve"> PAGEREF _Toc237336648 \h </w:instrText>
      </w:r>
      <w:r>
        <w:fldChar w:fldCharType="separate"/>
      </w:r>
      <w:r>
        <w:t>11</w:t>
      </w:r>
      <w:r>
        <w:fldChar w:fldCharType="end"/>
      </w:r>
      <w:r>
        <w:fldChar w:fldCharType="end"/>
      </w:r>
    </w:p>
    <w:p w14:paraId="2C6EE392">
      <w:pPr>
        <w:pStyle w:val="12"/>
        <w:rPr>
          <w:rFonts w:asciiTheme="minorHAnsi" w:hAnsiTheme="minorHAnsi" w:eastAsiaTheme="minorEastAsia"/>
          <w:sz w:val="21"/>
          <w:szCs w:val="22"/>
        </w:rPr>
      </w:pPr>
      <w:r>
        <w:fldChar w:fldCharType="begin"/>
      </w:r>
      <w:r>
        <w:instrText xml:space="preserve"> HYPERLINK \l "_Toc237336649" </w:instrText>
      </w:r>
      <w:r>
        <w:fldChar w:fldCharType="separate"/>
      </w:r>
      <w:r>
        <w:rPr>
          <w:rStyle w:val="21"/>
          <w:bCs/>
        </w:rPr>
        <w:t>第三章 提升获得感满意度 打造一流营商环境</w:t>
      </w:r>
      <w:r>
        <w:tab/>
      </w:r>
      <w:r>
        <w:fldChar w:fldCharType="begin"/>
      </w:r>
      <w:r>
        <w:instrText xml:space="preserve"> PAGEREF _Toc237336649 \h </w:instrText>
      </w:r>
      <w:r>
        <w:fldChar w:fldCharType="separate"/>
      </w:r>
      <w:r>
        <w:t>14</w:t>
      </w:r>
      <w:r>
        <w:fldChar w:fldCharType="end"/>
      </w:r>
      <w:r>
        <w:fldChar w:fldCharType="end"/>
      </w:r>
    </w:p>
    <w:p w14:paraId="3A074ADF">
      <w:pPr>
        <w:pStyle w:val="13"/>
        <w:rPr>
          <w:rFonts w:asciiTheme="minorHAnsi" w:hAnsiTheme="minorHAnsi" w:eastAsiaTheme="minorEastAsia"/>
          <w:sz w:val="21"/>
          <w:szCs w:val="22"/>
        </w:rPr>
      </w:pPr>
      <w:r>
        <w:fldChar w:fldCharType="begin"/>
      </w:r>
      <w:r>
        <w:instrText xml:space="preserve"> HYPERLINK \l "_Toc237336650" </w:instrText>
      </w:r>
      <w:r>
        <w:fldChar w:fldCharType="separate"/>
      </w:r>
      <w:r>
        <w:rPr>
          <w:rStyle w:val="21"/>
        </w:rPr>
        <w:t>第一节 打造综合更优的政策环境</w:t>
      </w:r>
      <w:r>
        <w:tab/>
      </w:r>
      <w:r>
        <w:fldChar w:fldCharType="begin"/>
      </w:r>
      <w:r>
        <w:instrText xml:space="preserve"> PAGEREF _Toc237336650 \h </w:instrText>
      </w:r>
      <w:r>
        <w:fldChar w:fldCharType="separate"/>
      </w:r>
      <w:r>
        <w:t>14</w:t>
      </w:r>
      <w:r>
        <w:fldChar w:fldCharType="end"/>
      </w:r>
      <w:r>
        <w:fldChar w:fldCharType="end"/>
      </w:r>
    </w:p>
    <w:p w14:paraId="0D047FFF">
      <w:pPr>
        <w:pStyle w:val="13"/>
        <w:rPr>
          <w:rFonts w:asciiTheme="minorHAnsi" w:hAnsiTheme="minorHAnsi" w:eastAsiaTheme="minorEastAsia"/>
          <w:sz w:val="21"/>
          <w:szCs w:val="22"/>
        </w:rPr>
      </w:pPr>
      <w:r>
        <w:fldChar w:fldCharType="begin"/>
      </w:r>
      <w:r>
        <w:instrText xml:space="preserve"> HYPERLINK \l "_Toc237336651" </w:instrText>
      </w:r>
      <w:r>
        <w:fldChar w:fldCharType="separate"/>
      </w:r>
      <w:r>
        <w:rPr>
          <w:rStyle w:val="21"/>
        </w:rPr>
        <w:t>第二节 打造公平有序的市场环境</w:t>
      </w:r>
      <w:r>
        <w:tab/>
      </w:r>
      <w:r>
        <w:fldChar w:fldCharType="begin"/>
      </w:r>
      <w:r>
        <w:instrText xml:space="preserve"> PAGEREF _Toc237336651 \h </w:instrText>
      </w:r>
      <w:r>
        <w:fldChar w:fldCharType="separate"/>
      </w:r>
      <w:r>
        <w:t>15</w:t>
      </w:r>
      <w:r>
        <w:fldChar w:fldCharType="end"/>
      </w:r>
      <w:r>
        <w:fldChar w:fldCharType="end"/>
      </w:r>
    </w:p>
    <w:p w14:paraId="7E8BD0FB">
      <w:pPr>
        <w:pStyle w:val="13"/>
        <w:rPr>
          <w:rFonts w:asciiTheme="minorHAnsi" w:hAnsiTheme="minorHAnsi" w:eastAsiaTheme="minorEastAsia"/>
          <w:sz w:val="21"/>
          <w:szCs w:val="22"/>
        </w:rPr>
      </w:pPr>
      <w:r>
        <w:fldChar w:fldCharType="begin"/>
      </w:r>
      <w:r>
        <w:instrText xml:space="preserve"> HYPERLINK \l "_Toc237336652" </w:instrText>
      </w:r>
      <w:r>
        <w:fldChar w:fldCharType="separate"/>
      </w:r>
      <w:r>
        <w:rPr>
          <w:rStyle w:val="21"/>
        </w:rPr>
        <w:t>第三节 打造高效便利的政务环境</w:t>
      </w:r>
      <w:r>
        <w:tab/>
      </w:r>
      <w:r>
        <w:fldChar w:fldCharType="begin"/>
      </w:r>
      <w:r>
        <w:instrText xml:space="preserve"> PAGEREF _Toc237336652 \h </w:instrText>
      </w:r>
      <w:r>
        <w:fldChar w:fldCharType="separate"/>
      </w:r>
      <w:r>
        <w:t>16</w:t>
      </w:r>
      <w:r>
        <w:fldChar w:fldCharType="end"/>
      </w:r>
      <w:r>
        <w:fldChar w:fldCharType="end"/>
      </w:r>
    </w:p>
    <w:p w14:paraId="2DB6CD96">
      <w:pPr>
        <w:pStyle w:val="13"/>
        <w:rPr>
          <w:rFonts w:asciiTheme="minorHAnsi" w:hAnsiTheme="minorHAnsi" w:eastAsiaTheme="minorEastAsia"/>
          <w:sz w:val="21"/>
          <w:szCs w:val="22"/>
        </w:rPr>
      </w:pPr>
      <w:r>
        <w:fldChar w:fldCharType="begin"/>
      </w:r>
      <w:r>
        <w:instrText xml:space="preserve"> HYPERLINK \l "_Toc237336653" </w:instrText>
      </w:r>
      <w:r>
        <w:fldChar w:fldCharType="separate"/>
      </w:r>
      <w:r>
        <w:rPr>
          <w:rStyle w:val="21"/>
        </w:rPr>
        <w:t>第四节 打造公正透明的法治环境</w:t>
      </w:r>
      <w:r>
        <w:tab/>
      </w:r>
      <w:r>
        <w:fldChar w:fldCharType="begin"/>
      </w:r>
      <w:r>
        <w:instrText xml:space="preserve"> PAGEREF _Toc237336653 \h </w:instrText>
      </w:r>
      <w:r>
        <w:fldChar w:fldCharType="separate"/>
      </w:r>
      <w:r>
        <w:t>17</w:t>
      </w:r>
      <w:r>
        <w:fldChar w:fldCharType="end"/>
      </w:r>
      <w:r>
        <w:fldChar w:fldCharType="end"/>
      </w:r>
    </w:p>
    <w:p w14:paraId="6DD74676">
      <w:pPr>
        <w:pStyle w:val="13"/>
        <w:rPr>
          <w:rFonts w:asciiTheme="minorHAnsi" w:hAnsiTheme="minorHAnsi" w:eastAsiaTheme="minorEastAsia"/>
          <w:sz w:val="21"/>
          <w:szCs w:val="22"/>
        </w:rPr>
      </w:pPr>
      <w:r>
        <w:fldChar w:fldCharType="begin"/>
      </w:r>
      <w:r>
        <w:instrText xml:space="preserve"> HYPERLINK \l "_Toc237336654" </w:instrText>
      </w:r>
      <w:r>
        <w:fldChar w:fldCharType="separate"/>
      </w:r>
      <w:r>
        <w:rPr>
          <w:rStyle w:val="21"/>
        </w:rPr>
        <w:t>第五节 打造亲商安商的人文环境</w:t>
      </w:r>
      <w:r>
        <w:tab/>
      </w:r>
      <w:r>
        <w:fldChar w:fldCharType="begin"/>
      </w:r>
      <w:r>
        <w:instrText xml:space="preserve"> PAGEREF _Toc237336654 \h </w:instrText>
      </w:r>
      <w:r>
        <w:fldChar w:fldCharType="separate"/>
      </w:r>
      <w:r>
        <w:t>18</w:t>
      </w:r>
      <w:r>
        <w:fldChar w:fldCharType="end"/>
      </w:r>
      <w:r>
        <w:fldChar w:fldCharType="end"/>
      </w:r>
    </w:p>
    <w:p w14:paraId="33F9A7ED">
      <w:pPr>
        <w:pStyle w:val="12"/>
        <w:rPr>
          <w:rFonts w:asciiTheme="minorHAnsi" w:hAnsiTheme="minorHAnsi" w:eastAsiaTheme="minorEastAsia"/>
          <w:sz w:val="21"/>
          <w:szCs w:val="22"/>
        </w:rPr>
      </w:pPr>
      <w:r>
        <w:fldChar w:fldCharType="begin"/>
      </w:r>
      <w:r>
        <w:instrText xml:space="preserve"> HYPERLINK \l "_Toc237336655" </w:instrText>
      </w:r>
      <w:r>
        <w:fldChar w:fldCharType="separate"/>
      </w:r>
      <w:r>
        <w:rPr>
          <w:rStyle w:val="21"/>
          <w:bCs/>
        </w:rPr>
        <w:t>第四章 大力发展新质生产力 加快建设现代化产业体系</w:t>
      </w:r>
      <w:r>
        <w:tab/>
      </w:r>
      <w:r>
        <w:fldChar w:fldCharType="begin"/>
      </w:r>
      <w:r>
        <w:instrText xml:space="preserve"> PAGEREF _Toc237336655 \h </w:instrText>
      </w:r>
      <w:r>
        <w:fldChar w:fldCharType="separate"/>
      </w:r>
      <w:r>
        <w:t>19</w:t>
      </w:r>
      <w:r>
        <w:fldChar w:fldCharType="end"/>
      </w:r>
      <w:r>
        <w:fldChar w:fldCharType="end"/>
      </w:r>
    </w:p>
    <w:p w14:paraId="0F0AD3A8">
      <w:pPr>
        <w:pStyle w:val="13"/>
        <w:rPr>
          <w:rFonts w:asciiTheme="minorHAnsi" w:hAnsiTheme="minorHAnsi" w:eastAsiaTheme="minorEastAsia"/>
          <w:sz w:val="21"/>
          <w:szCs w:val="22"/>
        </w:rPr>
      </w:pPr>
      <w:r>
        <w:fldChar w:fldCharType="begin"/>
      </w:r>
      <w:r>
        <w:instrText xml:space="preserve"> HYPERLINK \l "_Toc237336656" </w:instrText>
      </w:r>
      <w:r>
        <w:fldChar w:fldCharType="separate"/>
      </w:r>
      <w:r>
        <w:rPr>
          <w:rStyle w:val="21"/>
        </w:rPr>
        <w:t>第一节 重点发展生物化工产业</w:t>
      </w:r>
      <w:r>
        <w:tab/>
      </w:r>
      <w:r>
        <w:fldChar w:fldCharType="begin"/>
      </w:r>
      <w:r>
        <w:instrText xml:space="preserve"> PAGEREF _Toc237336656 \h </w:instrText>
      </w:r>
      <w:r>
        <w:fldChar w:fldCharType="separate"/>
      </w:r>
      <w:r>
        <w:t>19</w:t>
      </w:r>
      <w:r>
        <w:fldChar w:fldCharType="end"/>
      </w:r>
      <w:r>
        <w:fldChar w:fldCharType="end"/>
      </w:r>
    </w:p>
    <w:p w14:paraId="2FF3E0EF">
      <w:pPr>
        <w:pStyle w:val="13"/>
        <w:rPr>
          <w:rFonts w:asciiTheme="minorHAnsi" w:hAnsiTheme="minorHAnsi" w:eastAsiaTheme="minorEastAsia"/>
          <w:sz w:val="21"/>
          <w:szCs w:val="22"/>
        </w:rPr>
      </w:pPr>
      <w:r>
        <w:fldChar w:fldCharType="begin"/>
      </w:r>
      <w:r>
        <w:instrText xml:space="preserve"> HYPERLINK \l "_Toc237336657" </w:instrText>
      </w:r>
      <w:r>
        <w:fldChar w:fldCharType="separate"/>
      </w:r>
      <w:r>
        <w:rPr>
          <w:rStyle w:val="21"/>
        </w:rPr>
        <w:t>第二节 持续壮大新能源产业</w:t>
      </w:r>
      <w:r>
        <w:tab/>
      </w:r>
      <w:r>
        <w:fldChar w:fldCharType="begin"/>
      </w:r>
      <w:r>
        <w:instrText xml:space="preserve"> PAGEREF _Toc237336657 \h </w:instrText>
      </w:r>
      <w:r>
        <w:fldChar w:fldCharType="separate"/>
      </w:r>
      <w:r>
        <w:t>20</w:t>
      </w:r>
      <w:r>
        <w:fldChar w:fldCharType="end"/>
      </w:r>
      <w:r>
        <w:fldChar w:fldCharType="end"/>
      </w:r>
    </w:p>
    <w:p w14:paraId="6605CA58">
      <w:pPr>
        <w:pStyle w:val="13"/>
        <w:rPr>
          <w:rFonts w:asciiTheme="minorHAnsi" w:hAnsiTheme="minorHAnsi" w:eastAsiaTheme="minorEastAsia"/>
          <w:sz w:val="21"/>
          <w:szCs w:val="22"/>
        </w:rPr>
      </w:pPr>
      <w:r>
        <w:fldChar w:fldCharType="begin"/>
      </w:r>
      <w:r>
        <w:instrText xml:space="preserve"> HYPERLINK \l "_Toc237336658" </w:instrText>
      </w:r>
      <w:r>
        <w:fldChar w:fldCharType="separate"/>
      </w:r>
      <w:r>
        <w:rPr>
          <w:rStyle w:val="21"/>
        </w:rPr>
        <w:t>第三节 加快发展新材料产业</w:t>
      </w:r>
      <w:r>
        <w:tab/>
      </w:r>
      <w:r>
        <w:fldChar w:fldCharType="begin"/>
      </w:r>
      <w:r>
        <w:instrText xml:space="preserve"> PAGEREF _Toc237336658 \h </w:instrText>
      </w:r>
      <w:r>
        <w:fldChar w:fldCharType="separate"/>
      </w:r>
      <w:r>
        <w:t>20</w:t>
      </w:r>
      <w:r>
        <w:fldChar w:fldCharType="end"/>
      </w:r>
      <w:r>
        <w:fldChar w:fldCharType="end"/>
      </w:r>
    </w:p>
    <w:p w14:paraId="5CDDA087">
      <w:pPr>
        <w:pStyle w:val="13"/>
        <w:rPr>
          <w:rFonts w:asciiTheme="minorHAnsi" w:hAnsiTheme="minorHAnsi" w:eastAsiaTheme="minorEastAsia"/>
          <w:sz w:val="21"/>
          <w:szCs w:val="22"/>
        </w:rPr>
      </w:pPr>
      <w:r>
        <w:fldChar w:fldCharType="begin"/>
      </w:r>
      <w:r>
        <w:instrText xml:space="preserve"> HYPERLINK \l "_Toc237336659" </w:instrText>
      </w:r>
      <w:r>
        <w:fldChar w:fldCharType="separate"/>
      </w:r>
      <w:r>
        <w:rPr>
          <w:rStyle w:val="21"/>
        </w:rPr>
        <w:t>第四节 推进科技创新和产业创新深度融合</w:t>
      </w:r>
      <w:r>
        <w:tab/>
      </w:r>
      <w:r>
        <w:fldChar w:fldCharType="begin"/>
      </w:r>
      <w:r>
        <w:instrText xml:space="preserve"> PAGEREF _Toc237336659 \h </w:instrText>
      </w:r>
      <w:r>
        <w:fldChar w:fldCharType="separate"/>
      </w:r>
      <w:r>
        <w:t>21</w:t>
      </w:r>
      <w:r>
        <w:fldChar w:fldCharType="end"/>
      </w:r>
      <w:r>
        <w:fldChar w:fldCharType="end"/>
      </w:r>
    </w:p>
    <w:p w14:paraId="3A055B6A">
      <w:pPr>
        <w:pStyle w:val="13"/>
        <w:rPr>
          <w:rFonts w:asciiTheme="minorHAnsi" w:hAnsiTheme="minorHAnsi" w:eastAsiaTheme="minorEastAsia"/>
          <w:sz w:val="21"/>
          <w:szCs w:val="22"/>
        </w:rPr>
      </w:pPr>
      <w:r>
        <w:fldChar w:fldCharType="begin"/>
      </w:r>
      <w:r>
        <w:instrText xml:space="preserve"> HYPERLINK \l "_Toc237336660" </w:instrText>
      </w:r>
      <w:r>
        <w:fldChar w:fldCharType="separate"/>
      </w:r>
      <w:r>
        <w:rPr>
          <w:rStyle w:val="21"/>
        </w:rPr>
        <w:t>第五节 加快推动制造业“智改数转”</w:t>
      </w:r>
      <w:r>
        <w:tab/>
      </w:r>
      <w:r>
        <w:fldChar w:fldCharType="begin"/>
      </w:r>
      <w:r>
        <w:instrText xml:space="preserve"> PAGEREF _Toc237336660 \h </w:instrText>
      </w:r>
      <w:r>
        <w:fldChar w:fldCharType="separate"/>
      </w:r>
      <w:r>
        <w:t>22</w:t>
      </w:r>
      <w:r>
        <w:fldChar w:fldCharType="end"/>
      </w:r>
      <w:r>
        <w:fldChar w:fldCharType="end"/>
      </w:r>
    </w:p>
    <w:p w14:paraId="14F754E5">
      <w:pPr>
        <w:pStyle w:val="12"/>
        <w:rPr>
          <w:rFonts w:asciiTheme="minorHAnsi" w:hAnsiTheme="minorHAnsi" w:eastAsiaTheme="minorEastAsia"/>
          <w:sz w:val="21"/>
          <w:szCs w:val="22"/>
        </w:rPr>
      </w:pPr>
      <w:r>
        <w:fldChar w:fldCharType="begin"/>
      </w:r>
      <w:r>
        <w:instrText xml:space="preserve"> HYPERLINK \l "_Toc237336661" </w:instrText>
      </w:r>
      <w:r>
        <w:fldChar w:fldCharType="separate"/>
      </w:r>
      <w:r>
        <w:rPr>
          <w:rStyle w:val="21"/>
          <w:bCs/>
        </w:rPr>
        <w:t>第五章 加快发展现代化大农业 全面推进乡村振兴</w:t>
      </w:r>
      <w:r>
        <w:tab/>
      </w:r>
      <w:r>
        <w:fldChar w:fldCharType="begin"/>
      </w:r>
      <w:r>
        <w:instrText xml:space="preserve"> PAGEREF _Toc237336661 \h </w:instrText>
      </w:r>
      <w:r>
        <w:fldChar w:fldCharType="separate"/>
      </w:r>
      <w:r>
        <w:t>22</w:t>
      </w:r>
      <w:r>
        <w:fldChar w:fldCharType="end"/>
      </w:r>
      <w:r>
        <w:fldChar w:fldCharType="end"/>
      </w:r>
    </w:p>
    <w:p w14:paraId="3DBC32A5">
      <w:pPr>
        <w:pStyle w:val="13"/>
        <w:rPr>
          <w:rFonts w:asciiTheme="minorHAnsi" w:hAnsiTheme="minorHAnsi" w:eastAsiaTheme="minorEastAsia"/>
          <w:sz w:val="21"/>
          <w:szCs w:val="22"/>
        </w:rPr>
      </w:pPr>
      <w:r>
        <w:fldChar w:fldCharType="begin"/>
      </w:r>
      <w:r>
        <w:instrText xml:space="preserve"> HYPERLINK \l "_Toc237336662" </w:instrText>
      </w:r>
      <w:r>
        <w:fldChar w:fldCharType="separate"/>
      </w:r>
      <w:r>
        <w:rPr>
          <w:rStyle w:val="21"/>
        </w:rPr>
        <w:t>第一节 坚决维护粮食安全</w:t>
      </w:r>
      <w:r>
        <w:tab/>
      </w:r>
      <w:r>
        <w:fldChar w:fldCharType="begin"/>
      </w:r>
      <w:r>
        <w:instrText xml:space="preserve"> PAGEREF _Toc237336662 \h </w:instrText>
      </w:r>
      <w:r>
        <w:fldChar w:fldCharType="separate"/>
      </w:r>
      <w:r>
        <w:t>23</w:t>
      </w:r>
      <w:r>
        <w:fldChar w:fldCharType="end"/>
      </w:r>
      <w:r>
        <w:fldChar w:fldCharType="end"/>
      </w:r>
    </w:p>
    <w:p w14:paraId="76962307">
      <w:pPr>
        <w:pStyle w:val="13"/>
        <w:rPr>
          <w:rFonts w:asciiTheme="minorHAnsi" w:hAnsiTheme="minorHAnsi" w:eastAsiaTheme="minorEastAsia"/>
          <w:sz w:val="21"/>
          <w:szCs w:val="22"/>
        </w:rPr>
      </w:pPr>
      <w:r>
        <w:fldChar w:fldCharType="begin"/>
      </w:r>
      <w:r>
        <w:instrText xml:space="preserve"> HYPERLINK \l "_Toc237336663" </w:instrText>
      </w:r>
      <w:r>
        <w:fldChar w:fldCharType="separate"/>
      </w:r>
      <w:r>
        <w:rPr>
          <w:rStyle w:val="21"/>
        </w:rPr>
        <w:t>第二节 加快发展特色农业</w:t>
      </w:r>
      <w:r>
        <w:tab/>
      </w:r>
      <w:r>
        <w:fldChar w:fldCharType="begin"/>
      </w:r>
      <w:r>
        <w:instrText xml:space="preserve"> PAGEREF _Toc237336663 \h </w:instrText>
      </w:r>
      <w:r>
        <w:fldChar w:fldCharType="separate"/>
      </w:r>
      <w:r>
        <w:t>24</w:t>
      </w:r>
      <w:r>
        <w:fldChar w:fldCharType="end"/>
      </w:r>
      <w:r>
        <w:fldChar w:fldCharType="end"/>
      </w:r>
    </w:p>
    <w:p w14:paraId="6E580093">
      <w:pPr>
        <w:pStyle w:val="13"/>
        <w:rPr>
          <w:rFonts w:asciiTheme="minorHAnsi" w:hAnsiTheme="minorHAnsi" w:eastAsiaTheme="minorEastAsia"/>
          <w:sz w:val="21"/>
          <w:szCs w:val="22"/>
        </w:rPr>
      </w:pPr>
      <w:r>
        <w:fldChar w:fldCharType="begin"/>
      </w:r>
      <w:r>
        <w:instrText xml:space="preserve"> HYPERLINK \l "_Toc237336664" </w:instrText>
      </w:r>
      <w:r>
        <w:fldChar w:fldCharType="separate"/>
      </w:r>
      <w:r>
        <w:rPr>
          <w:rStyle w:val="21"/>
        </w:rPr>
        <w:t>第三节 建设宜居宜业和美乡村</w:t>
      </w:r>
      <w:r>
        <w:tab/>
      </w:r>
      <w:r>
        <w:fldChar w:fldCharType="begin"/>
      </w:r>
      <w:r>
        <w:instrText xml:space="preserve"> PAGEREF _Toc237336664 \h </w:instrText>
      </w:r>
      <w:r>
        <w:fldChar w:fldCharType="separate"/>
      </w:r>
      <w:r>
        <w:t>26</w:t>
      </w:r>
      <w:r>
        <w:fldChar w:fldCharType="end"/>
      </w:r>
      <w:r>
        <w:fldChar w:fldCharType="end"/>
      </w:r>
    </w:p>
    <w:p w14:paraId="36DBCD91">
      <w:pPr>
        <w:pStyle w:val="13"/>
        <w:rPr>
          <w:rFonts w:asciiTheme="minorHAnsi" w:hAnsiTheme="minorHAnsi" w:eastAsiaTheme="minorEastAsia"/>
          <w:sz w:val="21"/>
          <w:szCs w:val="22"/>
        </w:rPr>
      </w:pPr>
      <w:r>
        <w:fldChar w:fldCharType="begin"/>
      </w:r>
      <w:r>
        <w:instrText xml:space="preserve"> HYPERLINK \l "_Toc237336665" </w:instrText>
      </w:r>
      <w:r>
        <w:fldChar w:fldCharType="separate"/>
      </w:r>
      <w:r>
        <w:rPr>
          <w:rStyle w:val="21"/>
        </w:rPr>
        <w:t>第四节 深化农村综合改革</w:t>
      </w:r>
      <w:r>
        <w:tab/>
      </w:r>
      <w:r>
        <w:fldChar w:fldCharType="begin"/>
      </w:r>
      <w:r>
        <w:instrText xml:space="preserve"> PAGEREF _Toc237336665 \h </w:instrText>
      </w:r>
      <w:r>
        <w:fldChar w:fldCharType="separate"/>
      </w:r>
      <w:r>
        <w:t>27</w:t>
      </w:r>
      <w:r>
        <w:fldChar w:fldCharType="end"/>
      </w:r>
      <w:r>
        <w:fldChar w:fldCharType="end"/>
      </w:r>
    </w:p>
    <w:p w14:paraId="072B3143">
      <w:pPr>
        <w:pStyle w:val="13"/>
        <w:rPr>
          <w:rFonts w:asciiTheme="minorHAnsi" w:hAnsiTheme="minorHAnsi" w:eastAsiaTheme="minorEastAsia"/>
          <w:sz w:val="21"/>
          <w:szCs w:val="22"/>
        </w:rPr>
      </w:pPr>
      <w:r>
        <w:fldChar w:fldCharType="begin"/>
      </w:r>
      <w:r>
        <w:instrText xml:space="preserve"> HYPERLINK \l "_Toc237336666" </w:instrText>
      </w:r>
      <w:r>
        <w:fldChar w:fldCharType="separate"/>
      </w:r>
      <w:r>
        <w:rPr>
          <w:rStyle w:val="21"/>
        </w:rPr>
        <w:t>第五节 推进新型城镇化建设</w:t>
      </w:r>
      <w:r>
        <w:tab/>
      </w:r>
      <w:r>
        <w:fldChar w:fldCharType="begin"/>
      </w:r>
      <w:r>
        <w:instrText xml:space="preserve"> PAGEREF _Toc237336666 \h </w:instrText>
      </w:r>
      <w:r>
        <w:fldChar w:fldCharType="separate"/>
      </w:r>
      <w:r>
        <w:t>28</w:t>
      </w:r>
      <w:r>
        <w:fldChar w:fldCharType="end"/>
      </w:r>
      <w:r>
        <w:fldChar w:fldCharType="end"/>
      </w:r>
    </w:p>
    <w:p w14:paraId="6F7187F4">
      <w:pPr>
        <w:pStyle w:val="13"/>
        <w:rPr>
          <w:rFonts w:asciiTheme="minorHAnsi" w:hAnsiTheme="minorHAnsi" w:eastAsiaTheme="minorEastAsia"/>
          <w:sz w:val="21"/>
          <w:szCs w:val="22"/>
        </w:rPr>
      </w:pPr>
      <w:r>
        <w:fldChar w:fldCharType="begin"/>
      </w:r>
      <w:r>
        <w:instrText xml:space="preserve"> HYPERLINK \l "_Toc237336667" </w:instrText>
      </w:r>
      <w:r>
        <w:fldChar w:fldCharType="separate"/>
      </w:r>
      <w:r>
        <w:rPr>
          <w:rStyle w:val="21"/>
        </w:rPr>
        <w:t>第六节 优化乡镇产业布局</w:t>
      </w:r>
      <w:r>
        <w:tab/>
      </w:r>
      <w:r>
        <w:fldChar w:fldCharType="begin"/>
      </w:r>
      <w:r>
        <w:instrText xml:space="preserve"> PAGEREF _Toc237336667 \h </w:instrText>
      </w:r>
      <w:r>
        <w:fldChar w:fldCharType="separate"/>
      </w:r>
      <w:r>
        <w:t>29</w:t>
      </w:r>
      <w:r>
        <w:fldChar w:fldCharType="end"/>
      </w:r>
      <w:r>
        <w:fldChar w:fldCharType="end"/>
      </w:r>
    </w:p>
    <w:p w14:paraId="4F3F3988">
      <w:pPr>
        <w:pStyle w:val="12"/>
        <w:rPr>
          <w:rFonts w:asciiTheme="minorHAnsi" w:hAnsiTheme="minorHAnsi" w:eastAsiaTheme="minorEastAsia"/>
          <w:sz w:val="21"/>
          <w:szCs w:val="22"/>
        </w:rPr>
      </w:pPr>
      <w:r>
        <w:fldChar w:fldCharType="begin"/>
      </w:r>
      <w:r>
        <w:instrText xml:space="preserve"> HYPERLINK \l "_Toc237336668" </w:instrText>
      </w:r>
      <w:r>
        <w:fldChar w:fldCharType="separate"/>
      </w:r>
      <w:r>
        <w:rPr>
          <w:rStyle w:val="21"/>
          <w:bCs/>
        </w:rPr>
        <w:t>第六章 着力扩内需稳外需 积极服务和融入新发展格局</w:t>
      </w:r>
      <w:r>
        <w:tab/>
      </w:r>
      <w:r>
        <w:fldChar w:fldCharType="begin"/>
      </w:r>
      <w:r>
        <w:instrText xml:space="preserve"> PAGEREF _Toc237336668 \h </w:instrText>
      </w:r>
      <w:r>
        <w:fldChar w:fldCharType="separate"/>
      </w:r>
      <w:r>
        <w:t>30</w:t>
      </w:r>
      <w:r>
        <w:fldChar w:fldCharType="end"/>
      </w:r>
      <w:r>
        <w:fldChar w:fldCharType="end"/>
      </w:r>
    </w:p>
    <w:p w14:paraId="6764C194">
      <w:pPr>
        <w:pStyle w:val="13"/>
        <w:rPr>
          <w:rFonts w:asciiTheme="minorHAnsi" w:hAnsiTheme="minorHAnsi" w:eastAsiaTheme="minorEastAsia"/>
          <w:sz w:val="21"/>
          <w:szCs w:val="22"/>
        </w:rPr>
      </w:pPr>
      <w:r>
        <w:fldChar w:fldCharType="begin"/>
      </w:r>
      <w:r>
        <w:instrText xml:space="preserve"> HYPERLINK \l "_Toc237336669" </w:instrText>
      </w:r>
      <w:r>
        <w:fldChar w:fldCharType="separate"/>
      </w:r>
      <w:r>
        <w:rPr>
          <w:rStyle w:val="21"/>
        </w:rPr>
        <w:t>第一节 促进服务业优质发展</w:t>
      </w:r>
      <w:r>
        <w:tab/>
      </w:r>
      <w:r>
        <w:fldChar w:fldCharType="begin"/>
      </w:r>
      <w:r>
        <w:instrText xml:space="preserve"> PAGEREF _Toc237336669 \h </w:instrText>
      </w:r>
      <w:r>
        <w:fldChar w:fldCharType="separate"/>
      </w:r>
      <w:r>
        <w:t>30</w:t>
      </w:r>
      <w:r>
        <w:fldChar w:fldCharType="end"/>
      </w:r>
      <w:r>
        <w:fldChar w:fldCharType="end"/>
      </w:r>
    </w:p>
    <w:p w14:paraId="2891ED65">
      <w:pPr>
        <w:pStyle w:val="13"/>
        <w:rPr>
          <w:rFonts w:asciiTheme="minorHAnsi" w:hAnsiTheme="minorHAnsi" w:eastAsiaTheme="minorEastAsia"/>
          <w:sz w:val="21"/>
          <w:szCs w:val="22"/>
        </w:rPr>
      </w:pPr>
      <w:r>
        <w:fldChar w:fldCharType="begin"/>
      </w:r>
      <w:r>
        <w:instrText xml:space="preserve"> HYPERLINK \l "_Toc237336670" </w:instrText>
      </w:r>
      <w:r>
        <w:fldChar w:fldCharType="separate"/>
      </w:r>
      <w:r>
        <w:rPr>
          <w:rStyle w:val="21"/>
        </w:rPr>
        <w:t>第二节 着力扩大有效投资</w:t>
      </w:r>
      <w:r>
        <w:tab/>
      </w:r>
      <w:r>
        <w:fldChar w:fldCharType="begin"/>
      </w:r>
      <w:r>
        <w:instrText xml:space="preserve"> PAGEREF _Toc237336670 \h </w:instrText>
      </w:r>
      <w:r>
        <w:fldChar w:fldCharType="separate"/>
      </w:r>
      <w:r>
        <w:t>32</w:t>
      </w:r>
      <w:r>
        <w:fldChar w:fldCharType="end"/>
      </w:r>
      <w:r>
        <w:fldChar w:fldCharType="end"/>
      </w:r>
    </w:p>
    <w:p w14:paraId="6F84E7C7">
      <w:pPr>
        <w:pStyle w:val="13"/>
        <w:rPr>
          <w:rFonts w:asciiTheme="minorHAnsi" w:hAnsiTheme="minorHAnsi" w:eastAsiaTheme="minorEastAsia"/>
          <w:sz w:val="21"/>
          <w:szCs w:val="22"/>
        </w:rPr>
      </w:pPr>
      <w:r>
        <w:fldChar w:fldCharType="begin"/>
      </w:r>
      <w:r>
        <w:instrText xml:space="preserve"> HYPERLINK \l "_Toc237336671" </w:instrText>
      </w:r>
      <w:r>
        <w:fldChar w:fldCharType="separate"/>
      </w:r>
      <w:r>
        <w:rPr>
          <w:rStyle w:val="21"/>
        </w:rPr>
        <w:t>第三节 提高对外开放水平</w:t>
      </w:r>
      <w:r>
        <w:tab/>
      </w:r>
      <w:r>
        <w:fldChar w:fldCharType="begin"/>
      </w:r>
      <w:r>
        <w:instrText xml:space="preserve"> PAGEREF _Toc237336671 \h </w:instrText>
      </w:r>
      <w:r>
        <w:fldChar w:fldCharType="separate"/>
      </w:r>
      <w:r>
        <w:t>33</w:t>
      </w:r>
      <w:r>
        <w:fldChar w:fldCharType="end"/>
      </w:r>
      <w:r>
        <w:fldChar w:fldCharType="end"/>
      </w:r>
    </w:p>
    <w:p w14:paraId="02798114">
      <w:pPr>
        <w:pStyle w:val="12"/>
        <w:rPr>
          <w:rFonts w:asciiTheme="minorHAnsi" w:hAnsiTheme="minorHAnsi" w:eastAsiaTheme="minorEastAsia"/>
          <w:sz w:val="21"/>
          <w:szCs w:val="22"/>
        </w:rPr>
      </w:pPr>
      <w:r>
        <w:fldChar w:fldCharType="begin"/>
      </w:r>
      <w:r>
        <w:instrText xml:space="preserve"> HYPERLINK \l "_Toc237336672" </w:instrText>
      </w:r>
      <w:r>
        <w:fldChar w:fldCharType="separate"/>
      </w:r>
      <w:r>
        <w:rPr>
          <w:rStyle w:val="21"/>
          <w:bCs/>
        </w:rPr>
        <w:t>第七章 推进城市内涵式发展 建设现代化人民城市</w:t>
      </w:r>
      <w:r>
        <w:tab/>
      </w:r>
      <w:r>
        <w:fldChar w:fldCharType="begin"/>
      </w:r>
      <w:r>
        <w:instrText xml:space="preserve"> PAGEREF _Toc237336672 \h </w:instrText>
      </w:r>
      <w:r>
        <w:fldChar w:fldCharType="separate"/>
      </w:r>
      <w:r>
        <w:t>34</w:t>
      </w:r>
      <w:r>
        <w:fldChar w:fldCharType="end"/>
      </w:r>
      <w:r>
        <w:fldChar w:fldCharType="end"/>
      </w:r>
    </w:p>
    <w:p w14:paraId="22D11F1C">
      <w:pPr>
        <w:pStyle w:val="13"/>
        <w:rPr>
          <w:rFonts w:asciiTheme="minorHAnsi" w:hAnsiTheme="minorHAnsi" w:eastAsiaTheme="minorEastAsia"/>
          <w:sz w:val="21"/>
          <w:szCs w:val="22"/>
        </w:rPr>
      </w:pPr>
      <w:r>
        <w:fldChar w:fldCharType="begin"/>
      </w:r>
      <w:r>
        <w:instrText xml:space="preserve"> HYPERLINK \l "_Toc237336673" </w:instrText>
      </w:r>
      <w:r>
        <w:fldChar w:fldCharType="separate"/>
      </w:r>
      <w:r>
        <w:rPr>
          <w:rStyle w:val="21"/>
        </w:rPr>
        <w:t>第一节 优化城市结构和功能布局</w:t>
      </w:r>
      <w:r>
        <w:tab/>
      </w:r>
      <w:r>
        <w:fldChar w:fldCharType="begin"/>
      </w:r>
      <w:r>
        <w:instrText xml:space="preserve"> PAGEREF _Toc237336673 \h </w:instrText>
      </w:r>
      <w:r>
        <w:fldChar w:fldCharType="separate"/>
      </w:r>
      <w:r>
        <w:t>35</w:t>
      </w:r>
      <w:r>
        <w:fldChar w:fldCharType="end"/>
      </w:r>
      <w:r>
        <w:fldChar w:fldCharType="end"/>
      </w:r>
    </w:p>
    <w:p w14:paraId="124B3AA3">
      <w:pPr>
        <w:pStyle w:val="13"/>
        <w:rPr>
          <w:rFonts w:asciiTheme="minorHAnsi" w:hAnsiTheme="minorHAnsi" w:eastAsiaTheme="minorEastAsia"/>
          <w:sz w:val="21"/>
          <w:szCs w:val="22"/>
        </w:rPr>
      </w:pPr>
      <w:r>
        <w:fldChar w:fldCharType="begin"/>
      </w:r>
      <w:r>
        <w:instrText xml:space="preserve"> HYPERLINK \l "_Toc237336674" </w:instrText>
      </w:r>
      <w:r>
        <w:fldChar w:fldCharType="separate"/>
      </w:r>
      <w:r>
        <w:rPr>
          <w:rStyle w:val="21"/>
        </w:rPr>
        <w:t>第二节 持续开展城市更新</w:t>
      </w:r>
      <w:r>
        <w:tab/>
      </w:r>
      <w:r>
        <w:fldChar w:fldCharType="begin"/>
      </w:r>
      <w:r>
        <w:instrText xml:space="preserve"> PAGEREF _Toc237336674 \h </w:instrText>
      </w:r>
      <w:r>
        <w:fldChar w:fldCharType="separate"/>
      </w:r>
      <w:r>
        <w:t>35</w:t>
      </w:r>
      <w:r>
        <w:fldChar w:fldCharType="end"/>
      </w:r>
      <w:r>
        <w:fldChar w:fldCharType="end"/>
      </w:r>
    </w:p>
    <w:p w14:paraId="1D949EE1">
      <w:pPr>
        <w:pStyle w:val="13"/>
        <w:rPr>
          <w:rFonts w:asciiTheme="minorHAnsi" w:hAnsiTheme="minorHAnsi" w:eastAsiaTheme="minorEastAsia"/>
          <w:sz w:val="21"/>
          <w:szCs w:val="22"/>
        </w:rPr>
      </w:pPr>
      <w:r>
        <w:fldChar w:fldCharType="begin"/>
      </w:r>
      <w:r>
        <w:instrText xml:space="preserve"> HYPERLINK \l "_Toc237336675" </w:instrText>
      </w:r>
      <w:r>
        <w:fldChar w:fldCharType="separate"/>
      </w:r>
      <w:r>
        <w:rPr>
          <w:rStyle w:val="21"/>
        </w:rPr>
        <w:t>第三节 提升城市管理智慧化精细化水平</w:t>
      </w:r>
      <w:r>
        <w:tab/>
      </w:r>
      <w:r>
        <w:fldChar w:fldCharType="begin"/>
      </w:r>
      <w:r>
        <w:instrText xml:space="preserve"> PAGEREF _Toc237336675 \h </w:instrText>
      </w:r>
      <w:r>
        <w:fldChar w:fldCharType="separate"/>
      </w:r>
      <w:r>
        <w:t>37</w:t>
      </w:r>
      <w:r>
        <w:fldChar w:fldCharType="end"/>
      </w:r>
      <w:r>
        <w:fldChar w:fldCharType="end"/>
      </w:r>
    </w:p>
    <w:p w14:paraId="6E3648DD">
      <w:pPr>
        <w:pStyle w:val="13"/>
        <w:rPr>
          <w:rFonts w:asciiTheme="minorHAnsi" w:hAnsiTheme="minorHAnsi" w:eastAsiaTheme="minorEastAsia"/>
          <w:sz w:val="21"/>
          <w:szCs w:val="22"/>
        </w:rPr>
      </w:pPr>
      <w:r>
        <w:fldChar w:fldCharType="begin"/>
      </w:r>
      <w:r>
        <w:instrText xml:space="preserve"> HYPERLINK \l "_Toc237336676" </w:instrText>
      </w:r>
      <w:r>
        <w:fldChar w:fldCharType="separate"/>
      </w:r>
      <w:r>
        <w:rPr>
          <w:rStyle w:val="21"/>
        </w:rPr>
        <w:t>第四节 加强城市基础设施保障能力</w:t>
      </w:r>
      <w:r>
        <w:tab/>
      </w:r>
      <w:r>
        <w:fldChar w:fldCharType="begin"/>
      </w:r>
      <w:r>
        <w:instrText xml:space="preserve"> PAGEREF _Toc237336676 \h </w:instrText>
      </w:r>
      <w:r>
        <w:fldChar w:fldCharType="separate"/>
      </w:r>
      <w:r>
        <w:t>38</w:t>
      </w:r>
      <w:r>
        <w:fldChar w:fldCharType="end"/>
      </w:r>
      <w:r>
        <w:fldChar w:fldCharType="end"/>
      </w:r>
    </w:p>
    <w:p w14:paraId="5C21E794">
      <w:pPr>
        <w:pStyle w:val="12"/>
        <w:rPr>
          <w:rFonts w:asciiTheme="minorHAnsi" w:hAnsiTheme="minorHAnsi" w:eastAsiaTheme="minorEastAsia"/>
          <w:sz w:val="21"/>
          <w:szCs w:val="22"/>
        </w:rPr>
      </w:pPr>
      <w:r>
        <w:fldChar w:fldCharType="begin"/>
      </w:r>
      <w:r>
        <w:instrText xml:space="preserve"> HYPERLINK \l "_Toc237336677" </w:instrText>
      </w:r>
      <w:r>
        <w:fldChar w:fldCharType="separate"/>
      </w:r>
      <w:r>
        <w:rPr>
          <w:rStyle w:val="21"/>
          <w:bCs/>
        </w:rPr>
        <w:t>第八章 激发文化创造活力 促进文体旅繁荣发展</w:t>
      </w:r>
      <w:r>
        <w:tab/>
      </w:r>
      <w:r>
        <w:fldChar w:fldCharType="begin"/>
      </w:r>
      <w:r>
        <w:instrText xml:space="preserve"> PAGEREF _Toc237336677 \h </w:instrText>
      </w:r>
      <w:r>
        <w:fldChar w:fldCharType="separate"/>
      </w:r>
      <w:r>
        <w:t>39</w:t>
      </w:r>
      <w:r>
        <w:fldChar w:fldCharType="end"/>
      </w:r>
      <w:r>
        <w:fldChar w:fldCharType="end"/>
      </w:r>
    </w:p>
    <w:p w14:paraId="72E1823C">
      <w:pPr>
        <w:pStyle w:val="13"/>
        <w:rPr>
          <w:rFonts w:asciiTheme="minorHAnsi" w:hAnsiTheme="minorHAnsi" w:eastAsiaTheme="minorEastAsia"/>
          <w:sz w:val="21"/>
          <w:szCs w:val="22"/>
        </w:rPr>
      </w:pPr>
      <w:r>
        <w:fldChar w:fldCharType="begin"/>
      </w:r>
      <w:r>
        <w:instrText xml:space="preserve"> HYPERLINK \l "_Toc237336678" </w:instrText>
      </w:r>
      <w:r>
        <w:fldChar w:fldCharType="separate"/>
      </w:r>
      <w:r>
        <w:rPr>
          <w:rStyle w:val="21"/>
        </w:rPr>
        <w:t>第一节 开展新时代精神文明建设</w:t>
      </w:r>
      <w:r>
        <w:tab/>
      </w:r>
      <w:r>
        <w:fldChar w:fldCharType="begin"/>
      </w:r>
      <w:r>
        <w:instrText xml:space="preserve"> PAGEREF _Toc237336678 \h </w:instrText>
      </w:r>
      <w:r>
        <w:fldChar w:fldCharType="separate"/>
      </w:r>
      <w:r>
        <w:t>39</w:t>
      </w:r>
      <w:r>
        <w:fldChar w:fldCharType="end"/>
      </w:r>
      <w:r>
        <w:fldChar w:fldCharType="end"/>
      </w:r>
    </w:p>
    <w:p w14:paraId="511AE520">
      <w:pPr>
        <w:pStyle w:val="13"/>
        <w:rPr>
          <w:rFonts w:asciiTheme="minorHAnsi" w:hAnsiTheme="minorHAnsi" w:eastAsiaTheme="minorEastAsia"/>
          <w:sz w:val="21"/>
          <w:szCs w:val="22"/>
        </w:rPr>
      </w:pPr>
      <w:r>
        <w:fldChar w:fldCharType="begin"/>
      </w:r>
      <w:r>
        <w:instrText xml:space="preserve"> HYPERLINK \l "_Toc237336679" </w:instrText>
      </w:r>
      <w:r>
        <w:fldChar w:fldCharType="separate"/>
      </w:r>
      <w:r>
        <w:rPr>
          <w:rStyle w:val="21"/>
        </w:rPr>
        <w:t>第二节 加强文化遗产保护传承与利用</w:t>
      </w:r>
      <w:r>
        <w:tab/>
      </w:r>
      <w:r>
        <w:fldChar w:fldCharType="begin"/>
      </w:r>
      <w:r>
        <w:instrText xml:space="preserve"> PAGEREF _Toc237336679 \h </w:instrText>
      </w:r>
      <w:r>
        <w:fldChar w:fldCharType="separate"/>
      </w:r>
      <w:r>
        <w:t>40</w:t>
      </w:r>
      <w:r>
        <w:fldChar w:fldCharType="end"/>
      </w:r>
      <w:r>
        <w:fldChar w:fldCharType="end"/>
      </w:r>
    </w:p>
    <w:p w14:paraId="144153ED">
      <w:pPr>
        <w:pStyle w:val="13"/>
        <w:rPr>
          <w:rFonts w:asciiTheme="minorHAnsi" w:hAnsiTheme="minorHAnsi" w:eastAsiaTheme="minorEastAsia"/>
          <w:sz w:val="21"/>
          <w:szCs w:val="22"/>
        </w:rPr>
      </w:pPr>
      <w:r>
        <w:fldChar w:fldCharType="begin"/>
      </w:r>
      <w:r>
        <w:instrText xml:space="preserve"> HYPERLINK \l "_Toc237336680" </w:instrText>
      </w:r>
      <w:r>
        <w:fldChar w:fldCharType="separate"/>
      </w:r>
      <w:r>
        <w:rPr>
          <w:rStyle w:val="21"/>
        </w:rPr>
        <w:t>第三节 提高公共文化服务供给水平</w:t>
      </w:r>
      <w:r>
        <w:tab/>
      </w:r>
      <w:r>
        <w:fldChar w:fldCharType="begin"/>
      </w:r>
      <w:r>
        <w:instrText xml:space="preserve"> PAGEREF _Toc237336680 \h </w:instrText>
      </w:r>
      <w:r>
        <w:fldChar w:fldCharType="separate"/>
      </w:r>
      <w:r>
        <w:t>41</w:t>
      </w:r>
      <w:r>
        <w:fldChar w:fldCharType="end"/>
      </w:r>
      <w:r>
        <w:fldChar w:fldCharType="end"/>
      </w:r>
    </w:p>
    <w:p w14:paraId="5FD2F6B8">
      <w:pPr>
        <w:pStyle w:val="13"/>
        <w:rPr>
          <w:rFonts w:asciiTheme="minorHAnsi" w:hAnsiTheme="minorHAnsi" w:eastAsiaTheme="minorEastAsia"/>
          <w:sz w:val="21"/>
          <w:szCs w:val="22"/>
        </w:rPr>
      </w:pPr>
      <w:r>
        <w:fldChar w:fldCharType="begin"/>
      </w:r>
      <w:r>
        <w:instrText xml:space="preserve"> HYPERLINK \l "_Toc237336681" </w:instrText>
      </w:r>
      <w:r>
        <w:fldChar w:fldCharType="separate"/>
      </w:r>
      <w:r>
        <w:rPr>
          <w:rStyle w:val="21"/>
          <w:rFonts w:cs="仿宋_GB2312"/>
        </w:rPr>
        <w:t xml:space="preserve">第四节 </w:t>
      </w:r>
      <w:r>
        <w:rPr>
          <w:rStyle w:val="21"/>
        </w:rPr>
        <w:t>打造体育强县</w:t>
      </w:r>
      <w:r>
        <w:tab/>
      </w:r>
      <w:r>
        <w:fldChar w:fldCharType="begin"/>
      </w:r>
      <w:r>
        <w:instrText xml:space="preserve"> PAGEREF _Toc237336681 \h </w:instrText>
      </w:r>
      <w:r>
        <w:fldChar w:fldCharType="separate"/>
      </w:r>
      <w:r>
        <w:t>42</w:t>
      </w:r>
      <w:r>
        <w:fldChar w:fldCharType="end"/>
      </w:r>
      <w:r>
        <w:fldChar w:fldCharType="end"/>
      </w:r>
    </w:p>
    <w:p w14:paraId="18E9D875">
      <w:pPr>
        <w:pStyle w:val="13"/>
        <w:rPr>
          <w:rFonts w:asciiTheme="minorHAnsi" w:hAnsiTheme="minorHAnsi" w:eastAsiaTheme="minorEastAsia"/>
          <w:sz w:val="21"/>
          <w:szCs w:val="22"/>
        </w:rPr>
      </w:pPr>
      <w:r>
        <w:fldChar w:fldCharType="begin"/>
      </w:r>
      <w:r>
        <w:instrText xml:space="preserve"> HYPERLINK \l "_Toc237336682" </w:instrText>
      </w:r>
      <w:r>
        <w:fldChar w:fldCharType="separate"/>
      </w:r>
      <w:r>
        <w:rPr>
          <w:rStyle w:val="21"/>
        </w:rPr>
        <w:t>第五节 持续推进文体旅高品质融合发展</w:t>
      </w:r>
      <w:r>
        <w:tab/>
      </w:r>
      <w:r>
        <w:fldChar w:fldCharType="begin"/>
      </w:r>
      <w:r>
        <w:instrText xml:space="preserve"> PAGEREF _Toc237336682 \h </w:instrText>
      </w:r>
      <w:r>
        <w:fldChar w:fldCharType="separate"/>
      </w:r>
      <w:r>
        <w:t>43</w:t>
      </w:r>
      <w:r>
        <w:fldChar w:fldCharType="end"/>
      </w:r>
      <w:r>
        <w:fldChar w:fldCharType="end"/>
      </w:r>
    </w:p>
    <w:p w14:paraId="610DDBBF">
      <w:pPr>
        <w:pStyle w:val="12"/>
        <w:rPr>
          <w:rFonts w:asciiTheme="minorHAnsi" w:hAnsiTheme="minorHAnsi" w:eastAsiaTheme="minorEastAsia"/>
          <w:sz w:val="21"/>
          <w:szCs w:val="22"/>
        </w:rPr>
      </w:pPr>
      <w:r>
        <w:fldChar w:fldCharType="begin"/>
      </w:r>
      <w:r>
        <w:instrText xml:space="preserve"> HYPERLINK \l "_Toc237336683" </w:instrText>
      </w:r>
      <w:r>
        <w:fldChar w:fldCharType="separate"/>
      </w:r>
      <w:r>
        <w:rPr>
          <w:rStyle w:val="21"/>
          <w:bCs/>
        </w:rPr>
        <w:t>第九章 持续增进民生福祉 营造可感可及的幸福生活</w:t>
      </w:r>
      <w:r>
        <w:tab/>
      </w:r>
      <w:r>
        <w:fldChar w:fldCharType="begin"/>
      </w:r>
      <w:r>
        <w:instrText xml:space="preserve"> PAGEREF _Toc237336683 \h </w:instrText>
      </w:r>
      <w:r>
        <w:fldChar w:fldCharType="separate"/>
      </w:r>
      <w:r>
        <w:t>45</w:t>
      </w:r>
      <w:r>
        <w:fldChar w:fldCharType="end"/>
      </w:r>
      <w:r>
        <w:fldChar w:fldCharType="end"/>
      </w:r>
    </w:p>
    <w:p w14:paraId="01C69B0E">
      <w:pPr>
        <w:pStyle w:val="13"/>
        <w:rPr>
          <w:rFonts w:asciiTheme="minorHAnsi" w:hAnsiTheme="minorHAnsi" w:eastAsiaTheme="minorEastAsia"/>
          <w:sz w:val="21"/>
          <w:szCs w:val="22"/>
        </w:rPr>
      </w:pPr>
      <w:r>
        <w:fldChar w:fldCharType="begin"/>
      </w:r>
      <w:r>
        <w:instrText xml:space="preserve"> HYPERLINK \l "_Toc237336684" </w:instrText>
      </w:r>
      <w:r>
        <w:fldChar w:fldCharType="separate"/>
      </w:r>
      <w:r>
        <w:rPr>
          <w:rStyle w:val="21"/>
        </w:rPr>
        <w:t>第一节 促进高质量充分就业</w:t>
      </w:r>
      <w:r>
        <w:tab/>
      </w:r>
      <w:r>
        <w:fldChar w:fldCharType="begin"/>
      </w:r>
      <w:r>
        <w:instrText xml:space="preserve"> PAGEREF _Toc237336684 \h </w:instrText>
      </w:r>
      <w:r>
        <w:fldChar w:fldCharType="separate"/>
      </w:r>
      <w:r>
        <w:t>45</w:t>
      </w:r>
      <w:r>
        <w:fldChar w:fldCharType="end"/>
      </w:r>
      <w:r>
        <w:fldChar w:fldCharType="end"/>
      </w:r>
    </w:p>
    <w:p w14:paraId="0EB167AC">
      <w:pPr>
        <w:pStyle w:val="13"/>
        <w:rPr>
          <w:rFonts w:asciiTheme="minorHAnsi" w:hAnsiTheme="minorHAnsi" w:eastAsiaTheme="minorEastAsia"/>
          <w:sz w:val="21"/>
          <w:szCs w:val="22"/>
        </w:rPr>
      </w:pPr>
      <w:r>
        <w:fldChar w:fldCharType="begin"/>
      </w:r>
      <w:r>
        <w:instrText xml:space="preserve"> HYPERLINK \l "_Toc237336685" </w:instrText>
      </w:r>
      <w:r>
        <w:fldChar w:fldCharType="separate"/>
      </w:r>
      <w:r>
        <w:rPr>
          <w:rStyle w:val="21"/>
        </w:rPr>
        <w:t>第二节 促进城乡居民增收</w:t>
      </w:r>
      <w:r>
        <w:tab/>
      </w:r>
      <w:r>
        <w:fldChar w:fldCharType="begin"/>
      </w:r>
      <w:r>
        <w:instrText xml:space="preserve"> PAGEREF _Toc237336685 \h </w:instrText>
      </w:r>
      <w:r>
        <w:fldChar w:fldCharType="separate"/>
      </w:r>
      <w:r>
        <w:t>46</w:t>
      </w:r>
      <w:r>
        <w:fldChar w:fldCharType="end"/>
      </w:r>
      <w:r>
        <w:fldChar w:fldCharType="end"/>
      </w:r>
    </w:p>
    <w:p w14:paraId="023DCDC7">
      <w:pPr>
        <w:pStyle w:val="13"/>
        <w:rPr>
          <w:rFonts w:asciiTheme="minorHAnsi" w:hAnsiTheme="minorHAnsi" w:eastAsiaTheme="minorEastAsia"/>
          <w:sz w:val="21"/>
          <w:szCs w:val="22"/>
        </w:rPr>
      </w:pPr>
      <w:r>
        <w:fldChar w:fldCharType="begin"/>
      </w:r>
      <w:r>
        <w:instrText xml:space="preserve"> HYPERLINK \l "_Toc237336686" </w:instrText>
      </w:r>
      <w:r>
        <w:fldChar w:fldCharType="separate"/>
      </w:r>
      <w:r>
        <w:rPr>
          <w:rStyle w:val="21"/>
        </w:rPr>
        <w:t>第三节 提升“一老一小”服务能力</w:t>
      </w:r>
      <w:r>
        <w:tab/>
      </w:r>
      <w:r>
        <w:fldChar w:fldCharType="begin"/>
      </w:r>
      <w:r>
        <w:instrText xml:space="preserve"> PAGEREF _Toc237336686 \h </w:instrText>
      </w:r>
      <w:r>
        <w:fldChar w:fldCharType="separate"/>
      </w:r>
      <w:r>
        <w:t>46</w:t>
      </w:r>
      <w:r>
        <w:fldChar w:fldCharType="end"/>
      </w:r>
      <w:r>
        <w:fldChar w:fldCharType="end"/>
      </w:r>
    </w:p>
    <w:p w14:paraId="31CFF211">
      <w:pPr>
        <w:pStyle w:val="13"/>
        <w:rPr>
          <w:rFonts w:asciiTheme="minorHAnsi" w:hAnsiTheme="minorHAnsi" w:eastAsiaTheme="minorEastAsia"/>
          <w:sz w:val="21"/>
          <w:szCs w:val="22"/>
        </w:rPr>
      </w:pPr>
      <w:r>
        <w:fldChar w:fldCharType="begin"/>
      </w:r>
      <w:r>
        <w:instrText xml:space="preserve"> HYPERLINK \l "_Toc237336687" </w:instrText>
      </w:r>
      <w:r>
        <w:fldChar w:fldCharType="separate"/>
      </w:r>
      <w:r>
        <w:rPr>
          <w:rStyle w:val="21"/>
        </w:rPr>
        <w:t>第四节 办好人民满意教育</w:t>
      </w:r>
      <w:r>
        <w:tab/>
      </w:r>
      <w:r>
        <w:fldChar w:fldCharType="begin"/>
      </w:r>
      <w:r>
        <w:instrText xml:space="preserve"> PAGEREF _Toc237336687 \h </w:instrText>
      </w:r>
      <w:r>
        <w:fldChar w:fldCharType="separate"/>
      </w:r>
      <w:r>
        <w:t>47</w:t>
      </w:r>
      <w:r>
        <w:fldChar w:fldCharType="end"/>
      </w:r>
      <w:r>
        <w:fldChar w:fldCharType="end"/>
      </w:r>
    </w:p>
    <w:p w14:paraId="3FC9B293">
      <w:pPr>
        <w:pStyle w:val="13"/>
        <w:rPr>
          <w:rFonts w:asciiTheme="minorHAnsi" w:hAnsiTheme="minorHAnsi" w:eastAsiaTheme="minorEastAsia"/>
          <w:sz w:val="21"/>
          <w:szCs w:val="22"/>
        </w:rPr>
      </w:pPr>
      <w:r>
        <w:fldChar w:fldCharType="begin"/>
      </w:r>
      <w:r>
        <w:instrText xml:space="preserve"> HYPERLINK \l "_Toc237336688" </w:instrText>
      </w:r>
      <w:r>
        <w:fldChar w:fldCharType="separate"/>
      </w:r>
      <w:r>
        <w:rPr>
          <w:rStyle w:val="21"/>
        </w:rPr>
        <w:t>第五节 提高全民健康水平</w:t>
      </w:r>
      <w:r>
        <w:tab/>
      </w:r>
      <w:r>
        <w:fldChar w:fldCharType="begin"/>
      </w:r>
      <w:r>
        <w:instrText xml:space="preserve"> PAGEREF _Toc237336688 \h </w:instrText>
      </w:r>
      <w:r>
        <w:fldChar w:fldCharType="separate"/>
      </w:r>
      <w:r>
        <w:t>49</w:t>
      </w:r>
      <w:r>
        <w:fldChar w:fldCharType="end"/>
      </w:r>
      <w:r>
        <w:fldChar w:fldCharType="end"/>
      </w:r>
    </w:p>
    <w:p w14:paraId="2F8F6B95">
      <w:pPr>
        <w:pStyle w:val="13"/>
        <w:rPr>
          <w:rFonts w:asciiTheme="minorHAnsi" w:hAnsiTheme="minorHAnsi" w:eastAsiaTheme="minorEastAsia"/>
          <w:sz w:val="21"/>
          <w:szCs w:val="22"/>
        </w:rPr>
      </w:pPr>
      <w:r>
        <w:fldChar w:fldCharType="begin"/>
      </w:r>
      <w:r>
        <w:instrText xml:space="preserve"> HYPERLINK \l "_Toc237336689" </w:instrText>
      </w:r>
      <w:r>
        <w:fldChar w:fldCharType="separate"/>
      </w:r>
      <w:r>
        <w:rPr>
          <w:rStyle w:val="21"/>
        </w:rPr>
        <w:t>第六节 兜准兜牢民生底线</w:t>
      </w:r>
      <w:r>
        <w:tab/>
      </w:r>
      <w:r>
        <w:fldChar w:fldCharType="begin"/>
      </w:r>
      <w:r>
        <w:instrText xml:space="preserve"> PAGEREF _Toc237336689 \h </w:instrText>
      </w:r>
      <w:r>
        <w:fldChar w:fldCharType="separate"/>
      </w:r>
      <w:r>
        <w:t>50</w:t>
      </w:r>
      <w:r>
        <w:fldChar w:fldCharType="end"/>
      </w:r>
      <w:r>
        <w:fldChar w:fldCharType="end"/>
      </w:r>
    </w:p>
    <w:p w14:paraId="443B5833">
      <w:pPr>
        <w:pStyle w:val="12"/>
        <w:rPr>
          <w:rFonts w:asciiTheme="minorHAnsi" w:hAnsiTheme="minorHAnsi" w:eastAsiaTheme="minorEastAsia"/>
          <w:sz w:val="21"/>
          <w:szCs w:val="22"/>
        </w:rPr>
      </w:pPr>
      <w:r>
        <w:fldChar w:fldCharType="begin"/>
      </w:r>
      <w:r>
        <w:instrText xml:space="preserve"> HYPERLINK \l "_Toc237336690" </w:instrText>
      </w:r>
      <w:r>
        <w:fldChar w:fldCharType="separate"/>
      </w:r>
      <w:r>
        <w:rPr>
          <w:rStyle w:val="21"/>
          <w:bCs/>
        </w:rPr>
        <w:t>第十章 加强生态文明建设 推动经济社会绿色转型发展</w:t>
      </w:r>
      <w:r>
        <w:tab/>
      </w:r>
      <w:r>
        <w:fldChar w:fldCharType="begin"/>
      </w:r>
      <w:r>
        <w:instrText xml:space="preserve"> PAGEREF _Toc237336690 \h </w:instrText>
      </w:r>
      <w:r>
        <w:fldChar w:fldCharType="separate"/>
      </w:r>
      <w:r>
        <w:t>52</w:t>
      </w:r>
      <w:r>
        <w:fldChar w:fldCharType="end"/>
      </w:r>
      <w:r>
        <w:fldChar w:fldCharType="end"/>
      </w:r>
    </w:p>
    <w:p w14:paraId="0D80EFB9">
      <w:pPr>
        <w:pStyle w:val="13"/>
        <w:rPr>
          <w:rFonts w:asciiTheme="minorHAnsi" w:hAnsiTheme="minorHAnsi" w:eastAsiaTheme="minorEastAsia"/>
          <w:sz w:val="21"/>
          <w:szCs w:val="22"/>
        </w:rPr>
      </w:pPr>
      <w:r>
        <w:fldChar w:fldCharType="begin"/>
      </w:r>
      <w:r>
        <w:instrText xml:space="preserve"> HYPERLINK \l "_Toc237336691" </w:instrText>
      </w:r>
      <w:r>
        <w:fldChar w:fldCharType="separate"/>
      </w:r>
      <w:r>
        <w:rPr>
          <w:rStyle w:val="21"/>
        </w:rPr>
        <w:t>第一节 全面提升生态环境质量</w:t>
      </w:r>
      <w:r>
        <w:tab/>
      </w:r>
      <w:r>
        <w:fldChar w:fldCharType="begin"/>
      </w:r>
      <w:r>
        <w:instrText xml:space="preserve"> PAGEREF _Toc237336691 \h </w:instrText>
      </w:r>
      <w:r>
        <w:fldChar w:fldCharType="separate"/>
      </w:r>
      <w:r>
        <w:t>52</w:t>
      </w:r>
      <w:r>
        <w:fldChar w:fldCharType="end"/>
      </w:r>
      <w:r>
        <w:fldChar w:fldCharType="end"/>
      </w:r>
    </w:p>
    <w:p w14:paraId="43461584">
      <w:pPr>
        <w:pStyle w:val="13"/>
        <w:rPr>
          <w:rFonts w:asciiTheme="minorHAnsi" w:hAnsiTheme="minorHAnsi" w:eastAsiaTheme="minorEastAsia"/>
          <w:sz w:val="21"/>
          <w:szCs w:val="22"/>
        </w:rPr>
      </w:pPr>
      <w:r>
        <w:fldChar w:fldCharType="begin"/>
      </w:r>
      <w:r>
        <w:instrText xml:space="preserve"> HYPERLINK \l "_Toc237336692" </w:instrText>
      </w:r>
      <w:r>
        <w:fldChar w:fldCharType="separate"/>
      </w:r>
      <w:r>
        <w:rPr>
          <w:rStyle w:val="21"/>
        </w:rPr>
        <w:t>第二节 大力推进“无废城市”建设</w:t>
      </w:r>
      <w:r>
        <w:tab/>
      </w:r>
      <w:r>
        <w:fldChar w:fldCharType="begin"/>
      </w:r>
      <w:r>
        <w:instrText xml:space="preserve"> PAGEREF _Toc237336692 \h </w:instrText>
      </w:r>
      <w:r>
        <w:fldChar w:fldCharType="separate"/>
      </w:r>
      <w:r>
        <w:t>53</w:t>
      </w:r>
      <w:r>
        <w:fldChar w:fldCharType="end"/>
      </w:r>
      <w:r>
        <w:fldChar w:fldCharType="end"/>
      </w:r>
    </w:p>
    <w:p w14:paraId="6F28DB0C">
      <w:pPr>
        <w:pStyle w:val="13"/>
        <w:rPr>
          <w:rFonts w:asciiTheme="minorHAnsi" w:hAnsiTheme="minorHAnsi" w:eastAsiaTheme="minorEastAsia"/>
          <w:sz w:val="21"/>
          <w:szCs w:val="22"/>
        </w:rPr>
      </w:pPr>
      <w:r>
        <w:fldChar w:fldCharType="begin"/>
      </w:r>
      <w:r>
        <w:instrText xml:space="preserve"> HYPERLINK \l "_Toc237336693" </w:instrText>
      </w:r>
      <w:r>
        <w:fldChar w:fldCharType="separate"/>
      </w:r>
      <w:r>
        <w:rPr>
          <w:rStyle w:val="21"/>
        </w:rPr>
        <w:t>第三节 持续加强生态保护修复</w:t>
      </w:r>
      <w:r>
        <w:tab/>
      </w:r>
      <w:r>
        <w:fldChar w:fldCharType="begin"/>
      </w:r>
      <w:r>
        <w:instrText xml:space="preserve"> PAGEREF _Toc237336693 \h </w:instrText>
      </w:r>
      <w:r>
        <w:fldChar w:fldCharType="separate"/>
      </w:r>
      <w:r>
        <w:t>54</w:t>
      </w:r>
      <w:r>
        <w:fldChar w:fldCharType="end"/>
      </w:r>
      <w:r>
        <w:fldChar w:fldCharType="end"/>
      </w:r>
    </w:p>
    <w:p w14:paraId="320BF47E">
      <w:pPr>
        <w:pStyle w:val="12"/>
        <w:rPr>
          <w:rFonts w:asciiTheme="minorHAnsi" w:hAnsiTheme="minorHAnsi" w:eastAsiaTheme="minorEastAsia"/>
          <w:sz w:val="21"/>
          <w:szCs w:val="22"/>
        </w:rPr>
      </w:pPr>
      <w:r>
        <w:fldChar w:fldCharType="begin"/>
      </w:r>
      <w:r>
        <w:instrText xml:space="preserve"> HYPERLINK \l "_Toc237336694" </w:instrText>
      </w:r>
      <w:r>
        <w:fldChar w:fldCharType="separate"/>
      </w:r>
      <w:r>
        <w:rPr>
          <w:rStyle w:val="21"/>
          <w:bCs/>
        </w:rPr>
        <w:t>第十一章 深化重点领域改革 增强发展内生动力</w:t>
      </w:r>
      <w:r>
        <w:tab/>
      </w:r>
      <w:r>
        <w:fldChar w:fldCharType="begin"/>
      </w:r>
      <w:r>
        <w:instrText xml:space="preserve"> PAGEREF _Toc237336694 \h </w:instrText>
      </w:r>
      <w:r>
        <w:fldChar w:fldCharType="separate"/>
      </w:r>
      <w:r>
        <w:t>56</w:t>
      </w:r>
      <w:r>
        <w:fldChar w:fldCharType="end"/>
      </w:r>
      <w:r>
        <w:fldChar w:fldCharType="end"/>
      </w:r>
    </w:p>
    <w:p w14:paraId="655CA956">
      <w:pPr>
        <w:pStyle w:val="13"/>
        <w:rPr>
          <w:rFonts w:asciiTheme="minorHAnsi" w:hAnsiTheme="minorHAnsi" w:eastAsiaTheme="minorEastAsia"/>
          <w:sz w:val="21"/>
          <w:szCs w:val="22"/>
        </w:rPr>
      </w:pPr>
      <w:r>
        <w:fldChar w:fldCharType="begin"/>
      </w:r>
      <w:r>
        <w:instrText xml:space="preserve"> HYPERLINK \l "_Toc237336695" </w:instrText>
      </w:r>
      <w:r>
        <w:fldChar w:fldCharType="separate"/>
      </w:r>
      <w:r>
        <w:rPr>
          <w:rStyle w:val="21"/>
        </w:rPr>
        <w:t>第一节 持续推进国资国企改革</w:t>
      </w:r>
      <w:r>
        <w:tab/>
      </w:r>
      <w:r>
        <w:fldChar w:fldCharType="begin"/>
      </w:r>
      <w:r>
        <w:instrText xml:space="preserve"> PAGEREF _Toc237336695 \h </w:instrText>
      </w:r>
      <w:r>
        <w:fldChar w:fldCharType="separate"/>
      </w:r>
      <w:r>
        <w:t>56</w:t>
      </w:r>
      <w:r>
        <w:fldChar w:fldCharType="end"/>
      </w:r>
      <w:r>
        <w:fldChar w:fldCharType="end"/>
      </w:r>
    </w:p>
    <w:p w14:paraId="7D96833F">
      <w:pPr>
        <w:pStyle w:val="13"/>
        <w:rPr>
          <w:rFonts w:asciiTheme="minorHAnsi" w:hAnsiTheme="minorHAnsi" w:eastAsiaTheme="minorEastAsia"/>
          <w:sz w:val="21"/>
          <w:szCs w:val="22"/>
        </w:rPr>
      </w:pPr>
      <w:r>
        <w:fldChar w:fldCharType="begin"/>
      </w:r>
      <w:r>
        <w:instrText xml:space="preserve"> HYPERLINK \l "_Toc237336696" </w:instrText>
      </w:r>
      <w:r>
        <w:fldChar w:fldCharType="separate"/>
      </w:r>
      <w:r>
        <w:rPr>
          <w:rStyle w:val="21"/>
        </w:rPr>
        <w:t>第二节 激发民营经济发展活力</w:t>
      </w:r>
      <w:r>
        <w:tab/>
      </w:r>
      <w:r>
        <w:fldChar w:fldCharType="begin"/>
      </w:r>
      <w:r>
        <w:instrText xml:space="preserve"> PAGEREF _Toc237336696 \h </w:instrText>
      </w:r>
      <w:r>
        <w:fldChar w:fldCharType="separate"/>
      </w:r>
      <w:r>
        <w:t>57</w:t>
      </w:r>
      <w:r>
        <w:fldChar w:fldCharType="end"/>
      </w:r>
      <w:r>
        <w:fldChar w:fldCharType="end"/>
      </w:r>
    </w:p>
    <w:p w14:paraId="1AA22E05">
      <w:pPr>
        <w:pStyle w:val="13"/>
        <w:rPr>
          <w:rFonts w:asciiTheme="minorHAnsi" w:hAnsiTheme="minorHAnsi" w:eastAsiaTheme="minorEastAsia"/>
          <w:sz w:val="21"/>
          <w:szCs w:val="22"/>
        </w:rPr>
      </w:pPr>
      <w:r>
        <w:fldChar w:fldCharType="begin"/>
      </w:r>
      <w:r>
        <w:instrText xml:space="preserve"> HYPERLINK \l "_Toc237336697" </w:instrText>
      </w:r>
      <w:r>
        <w:fldChar w:fldCharType="separate"/>
      </w:r>
      <w:r>
        <w:rPr>
          <w:rStyle w:val="21"/>
        </w:rPr>
        <w:t>第三节 强化财政管理能力</w:t>
      </w:r>
      <w:r>
        <w:tab/>
      </w:r>
      <w:r>
        <w:fldChar w:fldCharType="begin"/>
      </w:r>
      <w:r>
        <w:instrText xml:space="preserve"> PAGEREF _Toc237336697 \h </w:instrText>
      </w:r>
      <w:r>
        <w:fldChar w:fldCharType="separate"/>
      </w:r>
      <w:r>
        <w:t>58</w:t>
      </w:r>
      <w:r>
        <w:fldChar w:fldCharType="end"/>
      </w:r>
      <w:r>
        <w:fldChar w:fldCharType="end"/>
      </w:r>
    </w:p>
    <w:p w14:paraId="2EF07BD5">
      <w:pPr>
        <w:pStyle w:val="13"/>
        <w:rPr>
          <w:rFonts w:asciiTheme="minorHAnsi" w:hAnsiTheme="minorHAnsi" w:eastAsiaTheme="minorEastAsia"/>
          <w:sz w:val="21"/>
          <w:szCs w:val="22"/>
        </w:rPr>
      </w:pPr>
      <w:r>
        <w:fldChar w:fldCharType="begin"/>
      </w:r>
      <w:r>
        <w:instrText xml:space="preserve"> HYPERLINK \l "_Toc237336698" </w:instrText>
      </w:r>
      <w:r>
        <w:fldChar w:fldCharType="separate"/>
      </w:r>
      <w:r>
        <w:rPr>
          <w:rStyle w:val="21"/>
        </w:rPr>
        <w:t>第四节 深化开发区管理制度改革</w:t>
      </w:r>
      <w:r>
        <w:tab/>
      </w:r>
      <w:r>
        <w:fldChar w:fldCharType="begin"/>
      </w:r>
      <w:r>
        <w:instrText xml:space="preserve"> PAGEREF _Toc237336698 \h </w:instrText>
      </w:r>
      <w:r>
        <w:fldChar w:fldCharType="separate"/>
      </w:r>
      <w:r>
        <w:t>59</w:t>
      </w:r>
      <w:r>
        <w:fldChar w:fldCharType="end"/>
      </w:r>
      <w:r>
        <w:fldChar w:fldCharType="end"/>
      </w:r>
    </w:p>
    <w:p w14:paraId="49AF5FC9">
      <w:pPr>
        <w:pStyle w:val="13"/>
        <w:rPr>
          <w:rFonts w:asciiTheme="minorHAnsi" w:hAnsiTheme="minorHAnsi" w:eastAsiaTheme="minorEastAsia"/>
          <w:sz w:val="21"/>
          <w:szCs w:val="22"/>
        </w:rPr>
      </w:pPr>
      <w:r>
        <w:fldChar w:fldCharType="begin"/>
      </w:r>
      <w:r>
        <w:instrText xml:space="preserve"> HYPERLINK \l "_Toc237336699" </w:instrText>
      </w:r>
      <w:r>
        <w:fldChar w:fldCharType="separate"/>
      </w:r>
      <w:r>
        <w:rPr>
          <w:rStyle w:val="21"/>
        </w:rPr>
        <w:t>第五节 推进要素市场化配置改革</w:t>
      </w:r>
      <w:r>
        <w:tab/>
      </w:r>
      <w:r>
        <w:fldChar w:fldCharType="begin"/>
      </w:r>
      <w:r>
        <w:instrText xml:space="preserve"> PAGEREF _Toc237336699 \h </w:instrText>
      </w:r>
      <w:r>
        <w:fldChar w:fldCharType="separate"/>
      </w:r>
      <w:r>
        <w:t>60</w:t>
      </w:r>
      <w:r>
        <w:fldChar w:fldCharType="end"/>
      </w:r>
      <w:r>
        <w:fldChar w:fldCharType="end"/>
      </w:r>
    </w:p>
    <w:p w14:paraId="3BB30177">
      <w:pPr>
        <w:pStyle w:val="12"/>
        <w:rPr>
          <w:rFonts w:asciiTheme="minorHAnsi" w:hAnsiTheme="minorHAnsi" w:eastAsiaTheme="minorEastAsia"/>
          <w:sz w:val="21"/>
          <w:szCs w:val="22"/>
        </w:rPr>
      </w:pPr>
      <w:r>
        <w:fldChar w:fldCharType="begin"/>
      </w:r>
      <w:r>
        <w:instrText xml:space="preserve"> HYPERLINK \l "_Toc237336700" </w:instrText>
      </w:r>
      <w:r>
        <w:fldChar w:fldCharType="separate"/>
      </w:r>
      <w:r>
        <w:rPr>
          <w:rStyle w:val="21"/>
          <w:bCs/>
        </w:rPr>
        <w:t>第十二章 筑牢安全发展底线 提高社会治理效能</w:t>
      </w:r>
      <w:r>
        <w:tab/>
      </w:r>
      <w:r>
        <w:fldChar w:fldCharType="begin"/>
      </w:r>
      <w:r>
        <w:instrText xml:space="preserve"> PAGEREF _Toc237336700 \h </w:instrText>
      </w:r>
      <w:r>
        <w:fldChar w:fldCharType="separate"/>
      </w:r>
      <w:r>
        <w:t>60</w:t>
      </w:r>
      <w:r>
        <w:fldChar w:fldCharType="end"/>
      </w:r>
      <w:r>
        <w:fldChar w:fldCharType="end"/>
      </w:r>
    </w:p>
    <w:p w14:paraId="1672E5BB">
      <w:pPr>
        <w:pStyle w:val="13"/>
        <w:rPr>
          <w:rFonts w:asciiTheme="minorHAnsi" w:hAnsiTheme="minorHAnsi" w:eastAsiaTheme="minorEastAsia"/>
          <w:sz w:val="21"/>
          <w:szCs w:val="22"/>
        </w:rPr>
      </w:pPr>
      <w:r>
        <w:fldChar w:fldCharType="begin"/>
      </w:r>
      <w:r>
        <w:instrText xml:space="preserve"> HYPERLINK \l "_Toc237336701" </w:instrText>
      </w:r>
      <w:r>
        <w:fldChar w:fldCharType="separate"/>
      </w:r>
      <w:r>
        <w:rPr>
          <w:rStyle w:val="21"/>
        </w:rPr>
        <w:t>第一节 防范化解重点领域风险</w:t>
      </w:r>
      <w:r>
        <w:tab/>
      </w:r>
      <w:r>
        <w:fldChar w:fldCharType="begin"/>
      </w:r>
      <w:r>
        <w:instrText xml:space="preserve"> PAGEREF _Toc237336701 \h </w:instrText>
      </w:r>
      <w:r>
        <w:fldChar w:fldCharType="separate"/>
      </w:r>
      <w:r>
        <w:t>61</w:t>
      </w:r>
      <w:r>
        <w:fldChar w:fldCharType="end"/>
      </w:r>
      <w:r>
        <w:fldChar w:fldCharType="end"/>
      </w:r>
    </w:p>
    <w:p w14:paraId="12103A86">
      <w:pPr>
        <w:pStyle w:val="13"/>
        <w:rPr>
          <w:rFonts w:asciiTheme="minorHAnsi" w:hAnsiTheme="minorHAnsi" w:eastAsiaTheme="minorEastAsia"/>
          <w:sz w:val="21"/>
          <w:szCs w:val="22"/>
        </w:rPr>
      </w:pPr>
      <w:r>
        <w:fldChar w:fldCharType="begin"/>
      </w:r>
      <w:r>
        <w:instrText xml:space="preserve"> HYPERLINK \l "_Toc237336702" </w:instrText>
      </w:r>
      <w:r>
        <w:fldChar w:fldCharType="separate"/>
      </w:r>
      <w:r>
        <w:rPr>
          <w:rStyle w:val="21"/>
        </w:rPr>
        <w:t>第二节 提升安全韧性能力</w:t>
      </w:r>
      <w:r>
        <w:tab/>
      </w:r>
      <w:r>
        <w:fldChar w:fldCharType="begin"/>
      </w:r>
      <w:r>
        <w:instrText xml:space="preserve"> PAGEREF _Toc237336702 \h </w:instrText>
      </w:r>
      <w:r>
        <w:fldChar w:fldCharType="separate"/>
      </w:r>
      <w:r>
        <w:t>61</w:t>
      </w:r>
      <w:r>
        <w:fldChar w:fldCharType="end"/>
      </w:r>
      <w:r>
        <w:fldChar w:fldCharType="end"/>
      </w:r>
    </w:p>
    <w:p w14:paraId="16E68393">
      <w:pPr>
        <w:pStyle w:val="13"/>
        <w:rPr>
          <w:rFonts w:asciiTheme="minorHAnsi" w:hAnsiTheme="minorHAnsi" w:eastAsiaTheme="minorEastAsia"/>
          <w:sz w:val="21"/>
          <w:szCs w:val="22"/>
        </w:rPr>
      </w:pPr>
      <w:r>
        <w:fldChar w:fldCharType="begin"/>
      </w:r>
      <w:r>
        <w:instrText xml:space="preserve"> HYPERLINK \l "_Toc237336703" </w:instrText>
      </w:r>
      <w:r>
        <w:fldChar w:fldCharType="separate"/>
      </w:r>
      <w:r>
        <w:rPr>
          <w:rStyle w:val="21"/>
        </w:rPr>
        <w:t>第三节 加快提高社会治理水平</w:t>
      </w:r>
      <w:r>
        <w:tab/>
      </w:r>
      <w:r>
        <w:fldChar w:fldCharType="begin"/>
      </w:r>
      <w:r>
        <w:instrText xml:space="preserve"> PAGEREF _Toc237336703 \h </w:instrText>
      </w:r>
      <w:r>
        <w:fldChar w:fldCharType="separate"/>
      </w:r>
      <w:r>
        <w:t>64</w:t>
      </w:r>
      <w:r>
        <w:fldChar w:fldCharType="end"/>
      </w:r>
      <w:r>
        <w:fldChar w:fldCharType="end"/>
      </w:r>
    </w:p>
    <w:p w14:paraId="1C8B1E0C">
      <w:pPr>
        <w:pStyle w:val="12"/>
        <w:rPr>
          <w:rFonts w:asciiTheme="minorHAnsi" w:hAnsiTheme="minorHAnsi" w:eastAsiaTheme="minorEastAsia"/>
          <w:sz w:val="21"/>
          <w:szCs w:val="22"/>
        </w:rPr>
      </w:pPr>
      <w:r>
        <w:fldChar w:fldCharType="begin"/>
      </w:r>
      <w:r>
        <w:instrText xml:space="preserve"> HYPERLINK \l "_Toc237336704" </w:instrText>
      </w:r>
      <w:r>
        <w:fldChar w:fldCharType="separate"/>
      </w:r>
      <w:r>
        <w:rPr>
          <w:rStyle w:val="21"/>
          <w:bCs/>
        </w:rPr>
        <w:t>第十三章 扎实推进规划实施 奋力实现发展蓝图</w:t>
      </w:r>
      <w:r>
        <w:tab/>
      </w:r>
      <w:r>
        <w:fldChar w:fldCharType="begin"/>
      </w:r>
      <w:r>
        <w:instrText xml:space="preserve"> PAGEREF _Toc237336704 \h </w:instrText>
      </w:r>
      <w:r>
        <w:fldChar w:fldCharType="separate"/>
      </w:r>
      <w:r>
        <w:t>65</w:t>
      </w:r>
      <w:r>
        <w:fldChar w:fldCharType="end"/>
      </w:r>
      <w:r>
        <w:fldChar w:fldCharType="end"/>
      </w:r>
    </w:p>
    <w:p w14:paraId="6D8436ED">
      <w:pPr>
        <w:pStyle w:val="13"/>
        <w:rPr>
          <w:rFonts w:asciiTheme="minorHAnsi" w:hAnsiTheme="minorHAnsi" w:eastAsiaTheme="minorEastAsia"/>
          <w:sz w:val="21"/>
          <w:szCs w:val="22"/>
        </w:rPr>
      </w:pPr>
      <w:r>
        <w:fldChar w:fldCharType="begin"/>
      </w:r>
      <w:r>
        <w:instrText xml:space="preserve"> HYPERLINK \l "_Toc237336705" </w:instrText>
      </w:r>
      <w:r>
        <w:fldChar w:fldCharType="separate"/>
      </w:r>
      <w:r>
        <w:rPr>
          <w:rStyle w:val="21"/>
        </w:rPr>
        <w:t>第一节 坚持党的全面领导</w:t>
      </w:r>
      <w:r>
        <w:tab/>
      </w:r>
      <w:r>
        <w:fldChar w:fldCharType="begin"/>
      </w:r>
      <w:r>
        <w:instrText xml:space="preserve"> PAGEREF _Toc237336705 \h </w:instrText>
      </w:r>
      <w:r>
        <w:fldChar w:fldCharType="separate"/>
      </w:r>
      <w:r>
        <w:t>65</w:t>
      </w:r>
      <w:r>
        <w:fldChar w:fldCharType="end"/>
      </w:r>
      <w:r>
        <w:fldChar w:fldCharType="end"/>
      </w:r>
    </w:p>
    <w:p w14:paraId="34220EEC">
      <w:pPr>
        <w:pStyle w:val="13"/>
        <w:rPr>
          <w:rFonts w:asciiTheme="minorHAnsi" w:hAnsiTheme="minorHAnsi" w:eastAsiaTheme="minorEastAsia"/>
          <w:sz w:val="21"/>
          <w:szCs w:val="22"/>
        </w:rPr>
      </w:pPr>
      <w:r>
        <w:fldChar w:fldCharType="begin"/>
      </w:r>
      <w:r>
        <w:instrText xml:space="preserve"> HYPERLINK \l "_Toc237336706" </w:instrText>
      </w:r>
      <w:r>
        <w:fldChar w:fldCharType="separate"/>
      </w:r>
      <w:r>
        <w:rPr>
          <w:rStyle w:val="21"/>
        </w:rPr>
        <w:t>第二节 完善规划实施机制</w:t>
      </w:r>
      <w:r>
        <w:tab/>
      </w:r>
      <w:r>
        <w:fldChar w:fldCharType="begin"/>
      </w:r>
      <w:r>
        <w:instrText xml:space="preserve"> PAGEREF _Toc237336706 \h </w:instrText>
      </w:r>
      <w:r>
        <w:fldChar w:fldCharType="separate"/>
      </w:r>
      <w:r>
        <w:t>65</w:t>
      </w:r>
      <w:r>
        <w:fldChar w:fldCharType="end"/>
      </w:r>
      <w:r>
        <w:fldChar w:fldCharType="end"/>
      </w:r>
    </w:p>
    <w:p w14:paraId="421710D6">
      <w:pPr>
        <w:pStyle w:val="13"/>
        <w:rPr>
          <w:rFonts w:asciiTheme="minorHAnsi" w:hAnsiTheme="minorHAnsi" w:eastAsiaTheme="minorEastAsia"/>
          <w:sz w:val="21"/>
          <w:szCs w:val="22"/>
        </w:rPr>
      </w:pPr>
      <w:r>
        <w:fldChar w:fldCharType="begin"/>
      </w:r>
      <w:r>
        <w:instrText xml:space="preserve"> HYPERLINK \l "_Toc237336707" </w:instrText>
      </w:r>
      <w:r>
        <w:fldChar w:fldCharType="separate"/>
      </w:r>
      <w:r>
        <w:rPr>
          <w:rStyle w:val="21"/>
        </w:rPr>
        <w:t>第三节 推进规划全周期管理</w:t>
      </w:r>
      <w:r>
        <w:tab/>
      </w:r>
      <w:r>
        <w:fldChar w:fldCharType="begin"/>
      </w:r>
      <w:r>
        <w:instrText xml:space="preserve"> PAGEREF _Toc237336707 \h </w:instrText>
      </w:r>
      <w:r>
        <w:fldChar w:fldCharType="separate"/>
      </w:r>
      <w:r>
        <w:t>66</w:t>
      </w:r>
      <w:r>
        <w:fldChar w:fldCharType="end"/>
      </w:r>
      <w:r>
        <w:fldChar w:fldCharType="end"/>
      </w:r>
    </w:p>
    <w:p w14:paraId="66375B79">
      <w:pPr>
        <w:pStyle w:val="13"/>
        <w:spacing w:line="480" w:lineRule="exact"/>
      </w:pPr>
      <w:r>
        <w:fldChar w:fldCharType="end"/>
      </w:r>
    </w:p>
    <w:p w14:paraId="6FD856E0">
      <w:pPr>
        <w:ind w:firstLine="640"/>
        <w:sectPr>
          <w:headerReference r:id="rId13" w:type="first"/>
          <w:headerReference r:id="rId11" w:type="default"/>
          <w:footerReference r:id="rId14" w:type="default"/>
          <w:headerReference r:id="rId12" w:type="even"/>
          <w:footerReference r:id="rId15" w:type="even"/>
          <w:pgSz w:w="11906" w:h="16838"/>
          <w:pgMar w:top="1440" w:right="1800" w:bottom="1135" w:left="1800" w:header="851" w:footer="828" w:gutter="0"/>
          <w:pgNumType w:fmt="upperRoman" w:start="1"/>
          <w:cols w:space="425" w:num="1"/>
          <w:docGrid w:type="lines" w:linePitch="312" w:charSpace="0"/>
        </w:sectPr>
      </w:pPr>
    </w:p>
    <w:p w14:paraId="2382A275">
      <w:pPr>
        <w:ind w:firstLine="640"/>
      </w:pPr>
      <w:r>
        <w:rPr>
          <w:rFonts w:hint="eastAsia"/>
        </w:rPr>
        <w:t>“十五五”时期（</w:t>
      </w:r>
      <w:r>
        <w:t>2026</w:t>
      </w:r>
      <w:r>
        <w:rPr>
          <w:rFonts w:hint="cs"/>
        </w:rPr>
        <w:t>—</w:t>
      </w:r>
      <w:r>
        <w:t>2030</w:t>
      </w:r>
      <w:r>
        <w:rPr>
          <w:rFonts w:hint="eastAsia"/>
        </w:rPr>
        <w:t>年）是我国基本实现社会主义现代化夯实基础、全面发力的关键时期，也是康平县全面建设社会主义现代化的攻坚期。科学制定和实施“十五五”规划，对实现未来五年康平县经济社会发展的宏伟蓝图具有重大意义。</w:t>
      </w:r>
    </w:p>
    <w:p w14:paraId="6AAF23B4">
      <w:pPr>
        <w:pStyle w:val="2"/>
        <w:spacing w:before="217" w:after="217"/>
        <w:rPr>
          <w:b w:val="0"/>
          <w:bCs/>
        </w:rPr>
      </w:pPr>
      <w:bookmarkStart w:id="1" w:name="_Toc237336642"/>
      <w:r>
        <w:rPr>
          <w:rFonts w:hint="eastAsia"/>
          <w:b w:val="0"/>
          <w:bCs/>
        </w:rPr>
        <w:t>第一章</w:t>
      </w:r>
      <w:r>
        <w:rPr>
          <w:b w:val="0"/>
          <w:bCs/>
        </w:rPr>
        <w:t xml:space="preserve"> </w:t>
      </w:r>
      <w:r>
        <w:rPr>
          <w:rFonts w:hint="eastAsia"/>
          <w:b w:val="0"/>
          <w:bCs/>
        </w:rPr>
        <w:t>康平全面振兴发展开创新局面</w:t>
      </w:r>
      <w:bookmarkEnd w:id="1"/>
    </w:p>
    <w:p w14:paraId="2DDE4A65">
      <w:pPr>
        <w:ind w:firstLine="640"/>
      </w:pPr>
      <w:r>
        <w:rPr>
          <w:rFonts w:hint="eastAsia"/>
        </w:rPr>
        <w:t>“十四五”</w:t>
      </w:r>
      <w:bookmarkStart w:id="2" w:name="OLE_LINK214"/>
      <w:r>
        <w:rPr>
          <w:rFonts w:hint="eastAsia"/>
        </w:rPr>
        <w:t>时期</w:t>
      </w:r>
      <w:bookmarkEnd w:id="2"/>
      <w:r>
        <w:rPr>
          <w:rFonts w:hint="eastAsia"/>
        </w:rPr>
        <w:t>，面对百年变局和世纪疫情相互叠加的复杂局面，康平县全面贯彻落实习近平总书记关于东北、辽宁全面振兴的重要讲话和指示批示精神，深入推进产业发展与转型、城市发展与转型、社会发展与转型，康平县全面振兴迈出新步伐。</w:t>
      </w:r>
    </w:p>
    <w:p w14:paraId="00693090">
      <w:pPr>
        <w:pStyle w:val="3"/>
        <w:spacing w:before="217" w:after="217"/>
      </w:pPr>
      <w:bookmarkStart w:id="3" w:name="_Toc209112129"/>
      <w:bookmarkStart w:id="4" w:name="_Toc237336643"/>
      <w:r>
        <w:rPr>
          <w:rFonts w:hint="eastAsia"/>
        </w:rPr>
        <w:t>第一节</w:t>
      </w:r>
      <w:r>
        <w:t xml:space="preserve"> </w:t>
      </w:r>
      <w:bookmarkStart w:id="5" w:name="OLE_LINK85"/>
      <w:bookmarkStart w:id="6" w:name="OLE_LINK86"/>
      <w:r>
        <w:rPr>
          <w:rFonts w:hint="eastAsia"/>
        </w:rPr>
        <w:t>“十四五”经济社会发展取得显著成就</w:t>
      </w:r>
      <w:bookmarkEnd w:id="3"/>
      <w:bookmarkEnd w:id="4"/>
      <w:bookmarkEnd w:id="5"/>
      <w:bookmarkEnd w:id="6"/>
    </w:p>
    <w:p w14:paraId="3BBA669F">
      <w:pPr>
        <w:ind w:firstLine="640"/>
      </w:pPr>
      <w:r>
        <w:rPr>
          <w:rFonts w:hint="eastAsia"/>
        </w:rPr>
        <w:t>“十四五”时期，县委、县政府团结带领全县广大干部群众砥砺奋进、攻坚克难，在综合实力、产业转型、科技创新、改革开放、生态文明、城乡协调、民生福祉、社会治理等方面取得显著成效，为“十五五”时期经济社会实现更高质量发展奠定了坚实基础。</w:t>
      </w:r>
    </w:p>
    <w:p w14:paraId="1FA22E21">
      <w:pPr>
        <w:ind w:firstLine="643"/>
        <w:rPr>
          <w:b/>
          <w:sz w:val="22"/>
        </w:rPr>
      </w:pPr>
      <w:r>
        <w:rPr>
          <w:rFonts w:hint="eastAsia"/>
          <w:b/>
        </w:rPr>
        <w:t>综合实力跃上新台阶。</w:t>
      </w:r>
      <w:r>
        <w:rPr>
          <w:rFonts w:hint="eastAsia"/>
        </w:rPr>
        <w:t>“十四五”时期，全县坚持疫情防控与经济社会发展“两手抓”，经济社会总体呈现平稳向好、稳中有升的发展态势。</w:t>
      </w:r>
      <w:bookmarkStart w:id="7" w:name="OLE_LINK171"/>
      <w:bookmarkStart w:id="8" w:name="OLE_LINK176"/>
      <w:r>
        <w:t>2025</w:t>
      </w:r>
      <w:r>
        <w:rPr>
          <w:rFonts w:hint="eastAsia"/>
        </w:rPr>
        <w:t>年全县地区生产总值总量突破</w:t>
      </w:r>
      <w:r>
        <w:t>150.3</w:t>
      </w:r>
      <w:r>
        <w:rPr>
          <w:rFonts w:hint="eastAsia"/>
        </w:rPr>
        <w:t>亿元，是</w:t>
      </w:r>
      <w:r>
        <w:t>202</w:t>
      </w:r>
      <w:r>
        <w:rPr>
          <w:rFonts w:hint="eastAsia"/>
          <w:lang w:val="en-US" w:eastAsia="zh-CN"/>
        </w:rPr>
        <w:t>1</w:t>
      </w:r>
      <w:r>
        <w:rPr>
          <w:rFonts w:hint="eastAsia"/>
        </w:rPr>
        <w:t>年的</w:t>
      </w:r>
      <w:r>
        <w:t>1.</w:t>
      </w:r>
      <w:r>
        <w:rPr>
          <w:rFonts w:hint="eastAsia"/>
          <w:lang w:val="en-US" w:eastAsia="zh-CN"/>
        </w:rPr>
        <w:t>24</w:t>
      </w:r>
      <w:r>
        <w:rPr>
          <w:rFonts w:hint="eastAsia"/>
        </w:rPr>
        <w:t>倍，年均增长</w:t>
      </w:r>
      <w:r>
        <w:rPr>
          <w:rFonts w:hint="eastAsia"/>
          <w:lang w:val="en-US" w:eastAsia="zh-CN"/>
        </w:rPr>
        <w:t>4.2</w:t>
      </w:r>
      <w:r>
        <w:t>%</w:t>
      </w:r>
      <w:bookmarkEnd w:id="7"/>
      <w:bookmarkEnd w:id="8"/>
      <w:r>
        <w:rPr>
          <w:rFonts w:hint="eastAsia"/>
        </w:rPr>
        <w:t>。投资动能有效增强，</w:t>
      </w:r>
      <w:r>
        <w:t>2025</w:t>
      </w:r>
      <w:r>
        <w:rPr>
          <w:rFonts w:hint="eastAsia"/>
        </w:rPr>
        <w:t>年固定资产投资达到</w:t>
      </w:r>
      <w:r>
        <w:t>32</w:t>
      </w:r>
      <w:r>
        <w:rPr>
          <w:rFonts w:hint="eastAsia"/>
        </w:rPr>
        <w:t>亿元，是</w:t>
      </w:r>
      <w:r>
        <w:t>202</w:t>
      </w:r>
      <w:r>
        <w:rPr>
          <w:rFonts w:hint="eastAsia"/>
          <w:lang w:val="en-US" w:eastAsia="zh-CN"/>
        </w:rPr>
        <w:t>1</w:t>
      </w:r>
      <w:r>
        <w:rPr>
          <w:rFonts w:hint="eastAsia"/>
        </w:rPr>
        <w:t>年的</w:t>
      </w:r>
      <w:r>
        <w:t>1.0</w:t>
      </w:r>
      <w:r>
        <w:rPr>
          <w:rFonts w:hint="eastAsia"/>
          <w:lang w:val="en-US" w:eastAsia="zh-CN"/>
        </w:rPr>
        <w:t>6</w:t>
      </w:r>
      <w:r>
        <w:rPr>
          <w:rFonts w:hint="eastAsia"/>
        </w:rPr>
        <w:t>倍，年均增长</w:t>
      </w:r>
      <w:r>
        <w:t>0.9%</w:t>
      </w:r>
      <w:r>
        <w:rPr>
          <w:rFonts w:hint="eastAsia"/>
        </w:rPr>
        <w:t>。财政收入显著增长，</w:t>
      </w:r>
      <w:r>
        <w:t>2025</w:t>
      </w:r>
      <w:r>
        <w:rPr>
          <w:rFonts w:hint="eastAsia"/>
        </w:rPr>
        <w:t>年一般公共预算收入达到1</w:t>
      </w:r>
      <w:r>
        <w:t>4.7</w:t>
      </w:r>
      <w:r>
        <w:rPr>
          <w:rFonts w:hint="eastAsia"/>
        </w:rPr>
        <w:t>亿元，是</w:t>
      </w:r>
      <w:r>
        <w:t>202</w:t>
      </w:r>
      <w:r>
        <w:rPr>
          <w:rFonts w:hint="eastAsia"/>
          <w:lang w:val="en-US" w:eastAsia="zh-CN"/>
        </w:rPr>
        <w:t>1</w:t>
      </w:r>
      <w:r>
        <w:rPr>
          <w:rFonts w:hint="eastAsia"/>
        </w:rPr>
        <w:t>年的</w:t>
      </w:r>
      <w:r>
        <w:t>1.3</w:t>
      </w:r>
      <w:r>
        <w:rPr>
          <w:rFonts w:hint="eastAsia"/>
          <w:lang w:val="en-US" w:eastAsia="zh-CN"/>
        </w:rPr>
        <w:t>4</w:t>
      </w:r>
      <w:r>
        <w:rPr>
          <w:rFonts w:hint="eastAsia"/>
        </w:rPr>
        <w:t>倍，年均增长</w:t>
      </w:r>
      <w:r>
        <w:t>5.3%</w:t>
      </w:r>
      <w:r>
        <w:rPr>
          <w:rFonts w:hint="eastAsia"/>
        </w:rPr>
        <w:t>。工业规模持续壮大，</w:t>
      </w:r>
      <w:r>
        <w:t>2025</w:t>
      </w:r>
      <w:r>
        <w:rPr>
          <w:rFonts w:hint="eastAsia"/>
        </w:rPr>
        <w:t>年规模以上工业总产值达到</w:t>
      </w:r>
      <w:r>
        <w:t>49.1</w:t>
      </w:r>
      <w:r>
        <w:rPr>
          <w:rFonts w:hint="eastAsia"/>
        </w:rPr>
        <w:t>亿元，年均增长</w:t>
      </w:r>
      <w:r>
        <w:t>1.</w:t>
      </w:r>
      <w:r>
        <w:rPr>
          <w:rFonts w:hint="eastAsia"/>
          <w:lang w:val="en-US" w:eastAsia="zh-CN"/>
        </w:rPr>
        <w:t>8</w:t>
      </w:r>
      <w:r>
        <w:t>%</w:t>
      </w:r>
      <w:r>
        <w:rPr>
          <w:rFonts w:hint="eastAsia"/>
        </w:rPr>
        <w:t>。2021年康平县被授予“中国塑编城·康平”称号。农民生活水平逐步提高，</w:t>
      </w:r>
      <w:r>
        <w:t>2025</w:t>
      </w:r>
      <w:r>
        <w:rPr>
          <w:rFonts w:hint="eastAsia"/>
        </w:rPr>
        <w:t>年农村居民人均可支配收入达到</w:t>
      </w:r>
      <w:r>
        <w:t>23729</w:t>
      </w:r>
      <w:r>
        <w:rPr>
          <w:rFonts w:hint="eastAsia"/>
        </w:rPr>
        <w:t>元，是</w:t>
      </w:r>
      <w:r>
        <w:t>202</w:t>
      </w:r>
      <w:r>
        <w:rPr>
          <w:rFonts w:hint="eastAsia"/>
          <w:lang w:val="en-US" w:eastAsia="zh-CN"/>
        </w:rPr>
        <w:t>1</w:t>
      </w:r>
      <w:r>
        <w:rPr>
          <w:rFonts w:hint="eastAsia"/>
        </w:rPr>
        <w:t>年的</w:t>
      </w:r>
      <w:r>
        <w:t>1.</w:t>
      </w:r>
      <w:r>
        <w:rPr>
          <w:rFonts w:hint="eastAsia"/>
          <w:lang w:val="en-US" w:eastAsia="zh-CN"/>
        </w:rPr>
        <w:t>23</w:t>
      </w:r>
      <w:r>
        <w:rPr>
          <w:rFonts w:hint="eastAsia"/>
        </w:rPr>
        <w:t>倍，年均增长</w:t>
      </w:r>
      <w:r>
        <w:t>6.</w:t>
      </w:r>
      <w:r>
        <w:rPr>
          <w:rFonts w:hint="eastAsia"/>
          <w:lang w:val="en-US" w:eastAsia="zh-CN"/>
        </w:rPr>
        <w:t>2</w:t>
      </w:r>
      <w:r>
        <w:t>%</w:t>
      </w:r>
      <w:r>
        <w:rPr>
          <w:rFonts w:hint="eastAsia"/>
        </w:rPr>
        <w:t>。消费活力逐渐恢复，</w:t>
      </w:r>
      <w:r>
        <w:t>2025</w:t>
      </w:r>
      <w:r>
        <w:rPr>
          <w:rFonts w:hint="eastAsia"/>
        </w:rPr>
        <w:t>年社会消费品零售总额达到</w:t>
      </w:r>
      <w:r>
        <w:t>33</w:t>
      </w:r>
      <w:r>
        <w:rPr>
          <w:rFonts w:hint="eastAsia"/>
        </w:rPr>
        <w:t>亿元，同比增长</w:t>
      </w:r>
      <w:r>
        <w:t>1.5%</w:t>
      </w:r>
      <w:r>
        <w:rPr>
          <w:rFonts w:hint="eastAsia"/>
        </w:rPr>
        <w:t>。城市魅力彰显，</w:t>
      </w:r>
      <w:bookmarkStart w:id="9" w:name="OLE_LINK252"/>
      <w:bookmarkStart w:id="10" w:name="OLE_LINK250"/>
      <w:r>
        <w:rPr>
          <w:rFonts w:hint="eastAsia"/>
        </w:rPr>
        <w:t>中国公路自行车联赛</w:t>
      </w:r>
      <w:bookmarkEnd w:id="9"/>
      <w:bookmarkEnd w:id="10"/>
      <w:r>
        <w:rPr>
          <w:rFonts w:hint="eastAsia" w:cs="Times New Roman"/>
          <w:szCs w:val="40"/>
        </w:rPr>
        <w:t>、</w:t>
      </w:r>
      <w:r>
        <w:rPr>
          <w:rFonts w:hint="eastAsia"/>
        </w:rPr>
        <w:t>康平卧龙湖马拉松、冬捕季等文体旅活动蓬勃开展，累计接待游客突破700万人次，旅游综合收入超</w:t>
      </w:r>
      <w:r>
        <w:t>10</w:t>
      </w:r>
      <w:r>
        <w:rPr>
          <w:rFonts w:hint="eastAsia"/>
        </w:rPr>
        <w:t>亿元。招商引资成效凸显，“十四五”期间亿元以上签约项目370个、落地172个，累计引进到位内资101.41亿元，实际到位</w:t>
      </w:r>
      <w:bookmarkStart w:id="11" w:name="OLE_LINK59"/>
      <w:r>
        <w:rPr>
          <w:rFonts w:hint="eastAsia"/>
        </w:rPr>
        <w:t>外资</w:t>
      </w:r>
      <w:bookmarkEnd w:id="11"/>
      <w:bookmarkStart w:id="12" w:name="OLE_LINK73"/>
      <w:r>
        <w:rPr>
          <w:rFonts w:hint="eastAsia"/>
        </w:rPr>
        <w:t>4894</w:t>
      </w:r>
      <w:bookmarkEnd w:id="12"/>
      <w:r>
        <w:rPr>
          <w:rFonts w:hint="eastAsia"/>
        </w:rPr>
        <w:t>万美元，外贸进出口2.36亿元。</w:t>
      </w:r>
    </w:p>
    <w:p w14:paraId="315E3615">
      <w:pPr>
        <w:ind w:firstLine="643"/>
      </w:pPr>
      <w:r>
        <w:rPr>
          <w:rFonts w:hint="eastAsia"/>
          <w:b/>
          <w:bCs/>
        </w:rPr>
        <w:t>产业转型升级斩获新成效。</w:t>
      </w:r>
      <w:r>
        <w:rPr>
          <w:rFonts w:hint="eastAsia"/>
        </w:rPr>
        <w:t>扎实做好结构调整“三篇大文章”，三次产业结构由“十三五”末期的</w:t>
      </w:r>
      <w:r>
        <w:rPr>
          <w:rFonts w:eastAsia="仿宋" w:cs="Times New Roman"/>
          <w:szCs w:val="32"/>
        </w:rPr>
        <w:t>30.9</w:t>
      </w:r>
      <w:r>
        <w:rPr>
          <w:rFonts w:hint="eastAsia" w:eastAsia="仿宋" w:cs="Times New Roman"/>
          <w:szCs w:val="32"/>
        </w:rPr>
        <w:t>:</w:t>
      </w:r>
      <w:r>
        <w:rPr>
          <w:rFonts w:eastAsia="仿宋" w:cs="Times New Roman"/>
          <w:szCs w:val="32"/>
        </w:rPr>
        <w:t>26.0</w:t>
      </w:r>
      <w:r>
        <w:rPr>
          <w:rFonts w:hint="eastAsia" w:eastAsia="仿宋" w:cs="Times New Roman"/>
          <w:szCs w:val="32"/>
        </w:rPr>
        <w:t>:</w:t>
      </w:r>
      <w:r>
        <w:rPr>
          <w:rFonts w:eastAsia="仿宋" w:cs="Times New Roman"/>
          <w:szCs w:val="32"/>
        </w:rPr>
        <w:t>43.1</w:t>
      </w:r>
      <w:r>
        <w:rPr>
          <w:rFonts w:hint="eastAsia"/>
        </w:rPr>
        <w:t>优化为</w:t>
      </w:r>
      <w:r>
        <w:t>2025</w:t>
      </w:r>
      <w:r>
        <w:rPr>
          <w:rFonts w:hint="eastAsia"/>
        </w:rPr>
        <w:t>年的</w:t>
      </w:r>
      <w:r>
        <w:t>30.6:29.7:39.7</w:t>
      </w:r>
      <w:r>
        <w:rPr>
          <w:rFonts w:hint="eastAsia"/>
        </w:rPr>
        <w:t>。战略性新兴产业占比大幅提升，新能源、新材料等领域取</w:t>
      </w:r>
      <w:bookmarkStart w:id="409" w:name="_GoBack"/>
      <w:bookmarkEnd w:id="409"/>
      <w:r>
        <w:rPr>
          <w:rFonts w:hint="eastAsia"/>
        </w:rPr>
        <w:t>得显著进展，</w:t>
      </w:r>
      <w:r>
        <w:t>2025</w:t>
      </w:r>
      <w:r>
        <w:rPr>
          <w:rFonts w:hint="eastAsia"/>
        </w:rPr>
        <w:t>年，战略性新兴产业规模以上工业产值占比</w:t>
      </w:r>
      <w:r>
        <w:t>51.7%</w:t>
      </w:r>
      <w:r>
        <w:rPr>
          <w:rFonts w:hint="eastAsia"/>
        </w:rPr>
        <w:t>，较“十三五”末期提高</w:t>
      </w:r>
      <w:r>
        <w:t>26.7%</w:t>
      </w:r>
      <w:r>
        <w:rPr>
          <w:rFonts w:hint="eastAsia"/>
        </w:rPr>
        <w:t>。新能源规模以上工业产值占比</w:t>
      </w:r>
      <w:r>
        <w:t>17%</w:t>
      </w:r>
      <w:r>
        <w:rPr>
          <w:rFonts w:hint="eastAsia"/>
        </w:rPr>
        <w:t>，较“十三五”末期提高</w:t>
      </w:r>
      <w:r>
        <w:t>5%</w:t>
      </w:r>
      <w:r>
        <w:rPr>
          <w:rFonts w:hint="eastAsia"/>
        </w:rPr>
        <w:t>，风光协同多能互补的新能源供应体系已初步建成，成为推动工业经济增长的重要力量。辽宁省首家生物化工产业园成功获批，</w:t>
      </w:r>
      <w:bookmarkStart w:id="13" w:name="OLE_LINK13"/>
      <w:bookmarkStart w:id="14" w:name="OLE_LINK12"/>
      <w:r>
        <w:rPr>
          <w:rFonts w:hint="eastAsia"/>
        </w:rPr>
        <w:t>瞄准</w:t>
      </w:r>
      <w:bookmarkStart w:id="15" w:name="OLE_LINK177"/>
      <w:bookmarkStart w:id="16" w:name="OLE_LINK178"/>
      <w:r>
        <w:rPr>
          <w:rFonts w:hint="eastAsia"/>
        </w:rPr>
        <w:t>绿色能源、生物制造、新材料、精细化工</w:t>
      </w:r>
      <w:bookmarkEnd w:id="13"/>
      <w:bookmarkEnd w:id="14"/>
      <w:r>
        <w:rPr>
          <w:rFonts w:hint="eastAsia"/>
        </w:rPr>
        <w:t>产业方向，开辟生物化工新赛道，填补辽宁省生物化工产业空白</w:t>
      </w:r>
      <w:bookmarkEnd w:id="15"/>
      <w:bookmarkEnd w:id="16"/>
      <w:r>
        <w:rPr>
          <w:rFonts w:hint="eastAsia"/>
        </w:rPr>
        <w:t>。</w:t>
      </w:r>
    </w:p>
    <w:p w14:paraId="2DCE03E2">
      <w:pPr>
        <w:ind w:firstLine="643"/>
        <w:rPr>
          <w:b/>
        </w:rPr>
      </w:pPr>
      <w:r>
        <w:rPr>
          <w:rFonts w:hint="eastAsia"/>
          <w:b/>
        </w:rPr>
        <w:t>科技创新能力实现新跃升。</w:t>
      </w:r>
      <w:r>
        <w:rPr>
          <w:rFonts w:hint="eastAsia"/>
        </w:rPr>
        <w:t>创新平台建设持续加码，培育“星创天地”企业11家，研究与试验发展（R&amp;D）统计研发人员达到316人，为新质生产力发展提供技术支撑。技术交易与成果转化成效显著，“十四五”期间累计完成技术合同</w:t>
      </w:r>
      <w:r>
        <w:t>32</w:t>
      </w:r>
      <w:r>
        <w:rPr>
          <w:rFonts w:hint="eastAsia"/>
        </w:rPr>
        <w:t>项，交易额达到</w:t>
      </w:r>
      <w:r>
        <w:t>6.86</w:t>
      </w:r>
      <w:r>
        <w:rPr>
          <w:rFonts w:hint="eastAsia"/>
        </w:rPr>
        <w:t>亿元。科技企业梯次培育成果丰硕，全县科技型中小企业达到10</w:t>
      </w:r>
      <w:r>
        <w:t>4</w:t>
      </w:r>
      <w:r>
        <w:rPr>
          <w:rFonts w:hint="eastAsia"/>
        </w:rPr>
        <w:t>家，累计培育高新技术企业</w:t>
      </w:r>
      <w:r>
        <w:t>42</w:t>
      </w:r>
      <w:r>
        <w:rPr>
          <w:rFonts w:hint="eastAsia"/>
        </w:rPr>
        <w:t>家、雏鹰企业5家、瞪羚企业1家、专精特新企业3家，实现瞪羚、专精特新企业零的突破。人才支撑不断强化，全县人才总量达到1.9万人，占户籍人口比重6%，成功获评1名“兴辽英才”和</w:t>
      </w:r>
      <w:r>
        <w:t>4</w:t>
      </w:r>
      <w:r>
        <w:rPr>
          <w:rFonts w:hint="eastAsia"/>
        </w:rPr>
        <w:t>名沈阳市D类人才。</w:t>
      </w:r>
    </w:p>
    <w:p w14:paraId="6861B3DB">
      <w:pPr>
        <w:ind w:firstLine="643"/>
        <w:rPr>
          <w:b/>
        </w:rPr>
      </w:pPr>
      <w:bookmarkStart w:id="17" w:name="OLE_LINK179"/>
      <w:bookmarkStart w:id="18" w:name="OLE_LINK180"/>
      <w:r>
        <w:rPr>
          <w:rFonts w:hint="eastAsia"/>
          <w:b/>
        </w:rPr>
        <w:t>重点领域改革开创新局面</w:t>
      </w:r>
      <w:bookmarkEnd w:id="17"/>
      <w:bookmarkEnd w:id="18"/>
      <w:r>
        <w:rPr>
          <w:rFonts w:hint="eastAsia"/>
          <w:b/>
        </w:rPr>
        <w:t>。</w:t>
      </w:r>
      <w:r>
        <w:rPr>
          <w:rFonts w:hint="eastAsia"/>
        </w:rPr>
        <w:t>营商环境持续优化，持续深化“只提交一次材料”改革，深入推进“高效办成一件事”，县政务服务中心升级扩容，服务承载力提升</w:t>
      </w:r>
      <w:r>
        <w:t>50%</w:t>
      </w:r>
      <w:r>
        <w:rPr>
          <w:rFonts w:hint="eastAsia"/>
        </w:rPr>
        <w:t>，事项扩容超</w:t>
      </w:r>
      <w:r>
        <w:t>30%</w:t>
      </w:r>
      <w:r>
        <w:rPr>
          <w:rFonts w:hint="eastAsia"/>
        </w:rPr>
        <w:t>，综合窗口改革持续深化，综合窗口一窗受理率达9</w:t>
      </w:r>
      <w:r>
        <w:t>7.7%</w:t>
      </w:r>
      <w:r>
        <w:rPr>
          <w:rFonts w:hint="eastAsia"/>
        </w:rPr>
        <w:t>。重大项目审批服务不断优化，工程建设项目审批时限压缩2</w:t>
      </w:r>
      <w:r>
        <w:t>0%</w:t>
      </w:r>
      <w:r>
        <w:rPr>
          <w:rFonts w:hint="eastAsia"/>
        </w:rPr>
        <w:t>。诉求办理质效全面提升，先后被评为“全市营商环境指标评价”“全市营商环境考核”一区一市两县第一名。国资国企改革深入实施，对县属国有企业进行优化重组，形成</w:t>
      </w:r>
      <w:r>
        <w:t>1</w:t>
      </w:r>
      <w:r>
        <w:rPr>
          <w:rFonts w:hint="eastAsia"/>
        </w:rPr>
        <w:t>家</w:t>
      </w:r>
      <w:bookmarkStart w:id="19" w:name="OLE_LINK10"/>
      <w:bookmarkStart w:id="20" w:name="OLE_LINK19"/>
      <w:r>
        <w:rPr>
          <w:rFonts w:hint="eastAsia"/>
        </w:rPr>
        <w:t>国有资本投资公司</w:t>
      </w:r>
      <w:bookmarkEnd w:id="19"/>
      <w:bookmarkEnd w:id="20"/>
      <w:r>
        <w:rPr>
          <w:rFonts w:hint="eastAsia"/>
        </w:rPr>
        <w:t>和</w:t>
      </w:r>
      <w:r>
        <w:t>N</w:t>
      </w:r>
      <w:r>
        <w:rPr>
          <w:rFonts w:hint="eastAsia"/>
        </w:rPr>
        <w:t>户其他企业的国资布局架构，国资公司获评AA信用评级。事转企稳步推进，</w:t>
      </w:r>
      <w:r>
        <w:t>11</w:t>
      </w:r>
      <w:r>
        <w:rPr>
          <w:rFonts w:hint="eastAsia"/>
        </w:rPr>
        <w:t>家全民所有制企业全部完成转制。民营经济实现平稳发展，市场主体</w:t>
      </w:r>
      <w:bookmarkStart w:id="21" w:name="OLE_LINK79"/>
      <w:r>
        <w:rPr>
          <w:rFonts w:hint="eastAsia"/>
        </w:rPr>
        <w:t>达到</w:t>
      </w:r>
      <w:bookmarkEnd w:id="21"/>
      <w:r>
        <w:t>4.3</w:t>
      </w:r>
      <w:r>
        <w:rPr>
          <w:rFonts w:hint="eastAsia"/>
        </w:rPr>
        <w:t>万户，年均增长</w:t>
      </w:r>
      <w:r>
        <w:t>6.76%</w:t>
      </w:r>
      <w:r>
        <w:rPr>
          <w:rFonts w:hint="eastAsia"/>
        </w:rPr>
        <w:t>，个体工商户数量达到</w:t>
      </w:r>
      <w:r>
        <w:t>3.2</w:t>
      </w:r>
      <w:r>
        <w:rPr>
          <w:rFonts w:hint="eastAsia"/>
        </w:rPr>
        <w:t>万户，年均增长</w:t>
      </w:r>
      <w:r>
        <w:t>9.85%</w:t>
      </w:r>
      <w:r>
        <w:rPr>
          <w:rFonts w:hint="eastAsia"/>
        </w:rPr>
        <w:t>。助企纾困质效提升，化解拖欠企业账款</w:t>
      </w:r>
      <w:r>
        <w:t>20.71</w:t>
      </w:r>
      <w:r>
        <w:rPr>
          <w:rFonts w:hint="eastAsia"/>
        </w:rPr>
        <w:t>亿元，助力企业融资14.29亿元。辽宁康平经济开发区在省级经济开发区综合发展水平评价中排名全省第</w:t>
      </w:r>
      <w:r>
        <w:t>46</w:t>
      </w:r>
      <w:r>
        <w:rPr>
          <w:rFonts w:hint="eastAsia"/>
        </w:rPr>
        <w:t>名，首次进入全省前</w:t>
      </w:r>
      <w:r>
        <w:t>50</w:t>
      </w:r>
      <w:r>
        <w:rPr>
          <w:rFonts w:hint="eastAsia"/>
        </w:rPr>
        <w:t>名。</w:t>
      </w:r>
    </w:p>
    <w:p w14:paraId="15C01D8E">
      <w:pPr>
        <w:ind w:firstLine="643"/>
        <w:rPr>
          <w:rFonts w:eastAsia="仿宋" w:cs="仿宋"/>
          <w:b/>
          <w:bCs/>
          <w:spacing w:val="6"/>
          <w:sz w:val="31"/>
          <w:szCs w:val="31"/>
        </w:rPr>
      </w:pPr>
      <w:r>
        <w:rPr>
          <w:rFonts w:hint="eastAsia"/>
          <w:b/>
        </w:rPr>
        <w:t>生态文明建设取得新成就。</w:t>
      </w:r>
      <w:r>
        <w:rPr>
          <w:rFonts w:hint="eastAsia"/>
        </w:rPr>
        <w:t>全面实施科尔沁沙地歼灭战，完成人工造林</w:t>
      </w:r>
      <w:r>
        <w:t>5.5</w:t>
      </w:r>
      <w:r>
        <w:rPr>
          <w:rFonts w:hint="eastAsia"/>
        </w:rPr>
        <w:t>万亩，退化林修复</w:t>
      </w:r>
      <w:r>
        <w:t>6.15</w:t>
      </w:r>
      <w:r>
        <w:rPr>
          <w:rFonts w:hint="eastAsia"/>
        </w:rPr>
        <w:t>万亩，森林抚育</w:t>
      </w:r>
      <w:r>
        <w:t>5.9</w:t>
      </w:r>
      <w:r>
        <w:rPr>
          <w:rFonts w:hint="eastAsia"/>
        </w:rPr>
        <w:t>万亩，市林长制考核始终位列第一。水土保持治理成果突出，完成侵蚀沟治理</w:t>
      </w:r>
      <w:r>
        <w:t>453</w:t>
      </w:r>
      <w:r>
        <w:rPr>
          <w:rFonts w:hint="eastAsia"/>
        </w:rPr>
        <w:t>条。河湖生态修复成效显著，完成水系连通及水美乡村建设国家试点项目，全国第</w:t>
      </w:r>
      <w:r>
        <w:t>3</w:t>
      </w:r>
      <w:r>
        <w:rPr>
          <w:rFonts w:hint="eastAsia"/>
        </w:rPr>
        <w:t>名通过水利部复核。卧龙湖生态修复项目成功录入水利部生态修复项目库，打造全国水资源紧缺地区“母亲湖”保护复苏样板。持续开展河湖“清四乱”工作，县域生态环境质量持续优化，进一步巩固国家生态文明建设示范区成果。环境质量持续领先，空气质量综合指数</w:t>
      </w:r>
      <w:r>
        <w:t>2022</w:t>
      </w:r>
      <w:r>
        <w:rPr>
          <w:rFonts w:hint="eastAsia"/>
        </w:rPr>
        <w:t>年以来一直位列全市第一。土壤污染风险得到全面管控，重点建设用地安全利用率持续保持</w:t>
      </w:r>
      <w:r>
        <w:t>100%</w:t>
      </w:r>
      <w:r>
        <w:rPr>
          <w:rFonts w:hint="eastAsia"/>
        </w:rPr>
        <w:t>。创新开展“无废城市”建设，有序引导利用煤矸石、粉煤灰、污泥生产新型墙体材料的应用推广，处理康平“两煤一电”年约</w:t>
      </w:r>
      <w:r>
        <w:t>300</w:t>
      </w:r>
      <w:r>
        <w:rPr>
          <w:rFonts w:hint="eastAsia"/>
        </w:rPr>
        <w:t>万吨固体废弃物。生活垃圾焚烧发电厂并网发电，建筑垃圾消纳场建成投运，实现垃圾无害化处理和资源化利用双重目标。畜禽粪污治理成效显著，形成</w:t>
      </w:r>
      <w:r>
        <w:t>“</w:t>
      </w:r>
      <w:r>
        <w:rPr>
          <w:rFonts w:hint="eastAsia"/>
        </w:rPr>
        <w:t>养殖—粪污—有机肥—种植</w:t>
      </w:r>
      <w:r>
        <w:t>”</w:t>
      </w:r>
      <w:r>
        <w:rPr>
          <w:rFonts w:hint="eastAsia"/>
        </w:rPr>
        <w:t>的良性循环体系。</w:t>
      </w:r>
    </w:p>
    <w:p w14:paraId="0FE39E20">
      <w:pPr>
        <w:ind w:firstLine="643"/>
      </w:pPr>
      <w:r>
        <w:rPr>
          <w:rFonts w:hint="eastAsia"/>
          <w:b/>
        </w:rPr>
        <w:t>城乡协调发展达到新水平。</w:t>
      </w:r>
      <w:r>
        <w:rPr>
          <w:rFonts w:hint="eastAsia"/>
        </w:rPr>
        <w:t>重点推进“断头路打通”专项行动，打通断头路2条，有效缓解城乡交通梗阻。老旧小区供水管网改造、城区排水管网改造工程扎实推进，改造地下供水、排水管网</w:t>
      </w:r>
      <w:r>
        <w:t>70</w:t>
      </w:r>
      <w:r>
        <w:rPr>
          <w:rFonts w:hint="eastAsia"/>
        </w:rPr>
        <w:t>公里，实现城区重点区域雨污分流全覆盖，历史积水点内涝、水压不稳等问题得到彻底解决。新建改建城市道路5</w:t>
      </w:r>
      <w:r>
        <w:t>0</w:t>
      </w:r>
      <w:r>
        <w:rPr>
          <w:rFonts w:hint="eastAsia"/>
        </w:rPr>
        <w:t>公里，金街、步行街商业环境全面提档升级，街路面貌焕然一新。精细化管理成效显著，1</w:t>
      </w:r>
      <w:r>
        <w:t>47</w:t>
      </w:r>
      <w:r>
        <w:rPr>
          <w:rFonts w:hint="eastAsia"/>
        </w:rPr>
        <w:t>栋散体楼实现合围管理，保障性物业服务实现全覆盖，增设停车泊位4</w:t>
      </w:r>
      <w:r>
        <w:t>700</w:t>
      </w:r>
      <w:r>
        <w:rPr>
          <w:rFonts w:hint="eastAsia"/>
        </w:rPr>
        <w:t>个，城区绿化覆盖率位居全市前列。乡村振兴成效显著，玉米单产提升工程等项目有效实施，建设高标准农田</w:t>
      </w:r>
      <w:r>
        <w:t>91.15</w:t>
      </w:r>
      <w:r>
        <w:rPr>
          <w:rFonts w:hint="eastAsia"/>
        </w:rPr>
        <w:t>万亩，粮食总产量稳步提升。特色农业提质增效，获批国家级“一村一品”示范村镇、省级农产品加工集聚区和现代农业产业园，新增国家级农业产业化重点龙头企业</w:t>
      </w:r>
      <w:r>
        <w:t>1</w:t>
      </w:r>
      <w:r>
        <w:rPr>
          <w:rFonts w:hint="eastAsia"/>
        </w:rPr>
        <w:t>家。农村人居环境持续优化，打造美丽宜居村</w:t>
      </w:r>
      <w:r>
        <w:t>130</w:t>
      </w:r>
      <w:r>
        <w:rPr>
          <w:rFonts w:hint="eastAsia"/>
        </w:rPr>
        <w:t>个，农村自来水普及率</w:t>
      </w:r>
      <w:r>
        <w:t>99.2%</w:t>
      </w:r>
      <w:r>
        <w:rPr>
          <w:rFonts w:hint="eastAsia"/>
        </w:rPr>
        <w:t>，农村集中供水人口比</w:t>
      </w:r>
      <w:r>
        <w:t>100%</w:t>
      </w:r>
      <w:r>
        <w:rPr>
          <w:rFonts w:hint="eastAsia"/>
        </w:rPr>
        <w:t>。落实四级衔接资金</w:t>
      </w:r>
      <w:r>
        <w:t>4.47</w:t>
      </w:r>
      <w:r>
        <w:rPr>
          <w:rFonts w:hint="eastAsia"/>
        </w:rPr>
        <w:t>亿元，实施帮扶项目</w:t>
      </w:r>
      <w:r>
        <w:t>667</w:t>
      </w:r>
      <w:r>
        <w:rPr>
          <w:rFonts w:hint="eastAsia"/>
        </w:rPr>
        <w:t>个，过渡期守住不发生规模性返贫底线，实现巩固拓展脱贫攻坚成果同乡村振兴有效衔接工作目标。获批第四批国家农业绿色发展先行区，畜禽粪污资源化利用整县推进项目投产运行。农村集体土地问题专项整治成效明显，收回土地</w:t>
      </w:r>
      <w:r>
        <w:t>14.58</w:t>
      </w:r>
      <w:r>
        <w:rPr>
          <w:rFonts w:hint="eastAsia"/>
        </w:rPr>
        <w:t>万亩，历史性摸清</w:t>
      </w:r>
      <w:r>
        <w:rPr>
          <w:rFonts w:hint="eastAsia"/>
          <w:bCs/>
        </w:rPr>
        <w:t>“</w:t>
      </w:r>
      <w:r>
        <w:rPr>
          <w:rFonts w:hint="eastAsia"/>
        </w:rPr>
        <w:t>土地家底</w:t>
      </w:r>
      <w:r>
        <w:rPr>
          <w:rFonts w:hint="eastAsia"/>
          <w:bCs/>
        </w:rPr>
        <w:t>”</w:t>
      </w:r>
      <w:r>
        <w:rPr>
          <w:rFonts w:hint="eastAsia"/>
        </w:rPr>
        <w:t>。</w:t>
      </w:r>
    </w:p>
    <w:p w14:paraId="7D699A6B">
      <w:pPr>
        <w:ind w:firstLine="643"/>
        <w:rPr>
          <w:bCs/>
        </w:rPr>
      </w:pPr>
      <w:r>
        <w:rPr>
          <w:rFonts w:hint="eastAsia"/>
          <w:b/>
          <w:bCs/>
        </w:rPr>
        <w:t>民生福祉保障迈至新高度。</w:t>
      </w:r>
      <w:r>
        <w:rPr>
          <w:szCs w:val="32"/>
        </w:rPr>
        <w:t>始终践行以人民为中心的</w:t>
      </w:r>
      <w:r>
        <w:rPr>
          <w:rFonts w:hint="eastAsia"/>
          <w:szCs w:val="32"/>
        </w:rPr>
        <w:t>发展</w:t>
      </w:r>
      <w:r>
        <w:rPr>
          <w:szCs w:val="32"/>
        </w:rPr>
        <w:t>理念，持续加大民生投入，民生领域支出占财政总支出比重</w:t>
      </w:r>
      <w:r>
        <w:rPr>
          <w:rFonts w:hint="eastAsia"/>
          <w:szCs w:val="32"/>
        </w:rPr>
        <w:t>达到80</w:t>
      </w:r>
      <w:r>
        <w:rPr>
          <w:szCs w:val="32"/>
        </w:rPr>
        <w:t>%以上</w:t>
      </w:r>
      <w:r>
        <w:rPr>
          <w:rFonts w:hint="eastAsia"/>
          <w:szCs w:val="32"/>
        </w:rPr>
        <w:t>。</w:t>
      </w:r>
      <w:r>
        <w:rPr>
          <w:rFonts w:hint="eastAsia"/>
          <w:bCs/>
        </w:rPr>
        <w:t>社会保障扎实推进，多举措拓宽就业渠道，</w:t>
      </w:r>
      <w:r>
        <w:rPr>
          <w:rFonts w:hint="eastAsia"/>
          <w:szCs w:val="32"/>
        </w:rPr>
        <w:t>城镇登记失业率连续5年控制在红线以下，</w:t>
      </w:r>
      <w:r>
        <w:rPr>
          <w:rFonts w:hint="eastAsia"/>
          <w:bCs/>
        </w:rPr>
        <w:t>就业规模与质量双提升。农村劳动力转移输出成效显著，</w:t>
      </w:r>
      <w:r>
        <w:rPr>
          <w:rFonts w:hint="eastAsia"/>
          <w:szCs w:val="32"/>
        </w:rPr>
        <w:t>“十四五”期间年均转移输出6000人，</w:t>
      </w:r>
      <w:r>
        <w:rPr>
          <w:rFonts w:hint="eastAsia"/>
          <w:bCs/>
        </w:rPr>
        <w:t>零就业家庭动态清零政策全面落实，困难群体保障标准持续提高。落实双拥政策，退役军人事务工作稳妥推进。医疗保障能力不断提升，</w:t>
      </w:r>
      <w:r>
        <w:rPr>
          <w:rFonts w:hint="eastAsia"/>
          <w:szCs w:val="32"/>
        </w:rPr>
        <w:t>职工医保门诊共济改革平稳落地，</w:t>
      </w:r>
      <w:r>
        <w:rPr>
          <w:rFonts w:hint="eastAsia"/>
          <w:bCs/>
        </w:rPr>
        <w:t>居民医保参保率达到</w:t>
      </w:r>
      <w:r>
        <w:rPr>
          <w:bCs/>
        </w:rPr>
        <w:t>97.7%</w:t>
      </w:r>
      <w:r>
        <w:rPr>
          <w:rFonts w:hint="eastAsia"/>
          <w:bCs/>
        </w:rPr>
        <w:t>。公共服务提质增效，基础教育综合改革实验项目取得阶段性成果，城乡义务教育资源配置持续优化，</w:t>
      </w:r>
      <w:r>
        <w:rPr>
          <w:rFonts w:hint="eastAsia"/>
          <w:szCs w:val="32"/>
        </w:rPr>
        <w:t>累计实施</w:t>
      </w:r>
      <w:r>
        <w:rPr>
          <w:rFonts w:hint="eastAsia"/>
          <w:szCs w:val="32"/>
          <w:lang w:eastAsia="zh"/>
        </w:rPr>
        <w:t>各类学校新建改造</w:t>
      </w:r>
      <w:r>
        <w:rPr>
          <w:rFonts w:hint="eastAsia"/>
          <w:szCs w:val="32"/>
        </w:rPr>
        <w:t>项目21个，教学环境全面改善。</w:t>
      </w:r>
      <w:r>
        <w:rPr>
          <w:rFonts w:hint="eastAsia"/>
          <w:bCs/>
        </w:rPr>
        <w:t>医疗卫生服务体系不断完善，15家乡镇、街道卫生院全部达标，</w:t>
      </w:r>
      <w:r>
        <w:rPr>
          <w:szCs w:val="32"/>
        </w:rPr>
        <w:t>辽宁中医二院康平分院开门接诊，</w:t>
      </w:r>
      <w:r>
        <w:rPr>
          <w:rFonts w:hint="eastAsia"/>
          <w:bCs/>
        </w:rPr>
        <w:t>完成紧密型县域医共体建设。</w:t>
      </w:r>
      <w:bookmarkStart w:id="22" w:name="OLE_LINK84"/>
      <w:bookmarkStart w:id="23" w:name="OLE_LINK83"/>
      <w:r>
        <w:rPr>
          <w:rFonts w:hint="eastAsia"/>
          <w:bCs/>
        </w:rPr>
        <w:t>养老服务品质大幅提升，成功获批省级县域养老服务体系创新试点项目，县乡村三级养老服务网络基本成形，8家公办养老机构全部完成提升改造，特殊困难群体适老化改造实现“愿改尽改”。文化事业蓬勃发展</w:t>
      </w:r>
      <w:bookmarkEnd w:id="22"/>
      <w:bookmarkEnd w:id="23"/>
      <w:r>
        <w:rPr>
          <w:rFonts w:hint="eastAsia"/>
          <w:bCs/>
        </w:rPr>
        <w:t>，</w:t>
      </w:r>
      <w:bookmarkStart w:id="24" w:name="OLE_LINK87"/>
      <w:bookmarkStart w:id="25" w:name="OLE_LINK89"/>
      <w:r>
        <w:rPr>
          <w:rFonts w:hint="eastAsia"/>
          <w:bCs/>
        </w:rPr>
        <w:t>全省首个中国作家“深入生活、扎根人民”新时代文学实践点落户康平，县图书馆、文化馆分别获评国家一级公共图书馆、国家一级文化馆。历史文化遗产有效保护利用，二牛柳编、蒲编技艺新增为市级非物质文化遗产项目</w:t>
      </w:r>
      <w:bookmarkEnd w:id="24"/>
      <w:bookmarkEnd w:id="25"/>
      <w:r>
        <w:rPr>
          <w:rFonts w:hint="eastAsia"/>
          <w:bCs/>
        </w:rPr>
        <w:t>。</w:t>
      </w:r>
    </w:p>
    <w:p w14:paraId="5909D8B8">
      <w:pPr>
        <w:ind w:firstLine="643"/>
        <w:rPr>
          <w:bCs/>
        </w:rPr>
      </w:pPr>
      <w:bookmarkStart w:id="26" w:name="OLE_LINK78"/>
      <w:r>
        <w:rPr>
          <w:rFonts w:hint="eastAsia"/>
          <w:b/>
          <w:bCs/>
        </w:rPr>
        <w:t>社会治理水平实现新提升</w:t>
      </w:r>
      <w:bookmarkEnd w:id="26"/>
      <w:r>
        <w:rPr>
          <w:rFonts w:hint="eastAsia"/>
          <w:b/>
          <w:bCs/>
        </w:rPr>
        <w:t>。</w:t>
      </w:r>
      <w:bookmarkStart w:id="27" w:name="OLE_LINK81"/>
      <w:r>
        <w:rPr>
          <w:rFonts w:hint="eastAsia"/>
          <w:bCs/>
        </w:rPr>
        <w:t>深入践行“两邻”理念，高标准建成</w:t>
      </w:r>
      <w:r>
        <w:rPr>
          <w:bCs/>
        </w:rPr>
        <w:t>68</w:t>
      </w:r>
      <w:r>
        <w:rPr>
          <w:rFonts w:hint="eastAsia"/>
          <w:bCs/>
        </w:rPr>
        <w:t>个示范社区（村），“三零”建设指标全面优于市级考核标准。安全防线持续筑牢，圆满完成党的二十大安保任务，安全生产专项整治三年行动成效显著，省级应急物资储备库建成投用。信访工作实现突破性进展，“治重访、化积案”专项行动取得实效，“四本台账”化解率</w:t>
      </w:r>
      <w:r>
        <w:rPr>
          <w:bCs/>
        </w:rPr>
        <w:t>100%</w:t>
      </w:r>
      <w:r>
        <w:rPr>
          <w:rFonts w:hint="eastAsia"/>
          <w:bCs/>
        </w:rPr>
        <w:t>。社会治安持续向好，创新“</w:t>
      </w:r>
      <w:r>
        <w:rPr>
          <w:bCs/>
        </w:rPr>
        <w:t>110</w:t>
      </w:r>
      <w:r>
        <w:rPr>
          <w:rFonts w:hint="eastAsia"/>
          <w:bCs/>
        </w:rPr>
        <w:t>社会联动”机制，闭环解决群众急难愁盼。</w:t>
      </w:r>
      <w:bookmarkStart w:id="28" w:name="OLE_LINK90"/>
      <w:r>
        <w:rPr>
          <w:rFonts w:hint="eastAsia"/>
          <w:bCs/>
        </w:rPr>
        <w:t>实行“</w:t>
      </w:r>
      <w:r>
        <w:rPr>
          <w:bCs/>
        </w:rPr>
        <w:t>2+3+4</w:t>
      </w:r>
      <w:r>
        <w:rPr>
          <w:rFonts w:hint="eastAsia"/>
          <w:bCs/>
        </w:rPr>
        <w:t>”警务运行模式</w:t>
      </w:r>
      <w:bookmarkEnd w:id="28"/>
      <w:r>
        <w:rPr>
          <w:rFonts w:hint="eastAsia"/>
          <w:bCs/>
        </w:rPr>
        <w:t>，推动案件破结率全市领跑。打造新时代“枫桥经验”康平模式，形成共建共治共享的社会治理新格局。</w:t>
      </w:r>
      <w:bookmarkEnd w:id="27"/>
    </w:p>
    <w:p w14:paraId="7195F5F3">
      <w:pPr>
        <w:pStyle w:val="25"/>
        <w:numPr>
          <w:ilvl w:val="0"/>
          <w:numId w:val="1"/>
        </w:numPr>
        <w:ind w:left="0" w:firstLine="0" w:firstLineChars="0"/>
        <w:jc w:val="center"/>
        <w:outlineLvl w:val="3"/>
        <w:rPr>
          <w:rFonts w:eastAsia="楷体"/>
          <w:b/>
          <w:kern w:val="0"/>
          <w:sz w:val="28"/>
          <w:szCs w:val="28"/>
        </w:rPr>
      </w:pPr>
      <w:r>
        <w:rPr>
          <w:rFonts w:hint="eastAsia" w:eastAsia="楷体"/>
          <w:b/>
          <w:kern w:val="0"/>
          <w:sz w:val="28"/>
          <w:szCs w:val="28"/>
        </w:rPr>
        <w:t>“十四五”规划主要目标预计完成情况</w:t>
      </w:r>
    </w:p>
    <w:tbl>
      <w:tblPr>
        <w:tblStyle w:val="15"/>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05"/>
        <w:gridCol w:w="706"/>
        <w:gridCol w:w="2516"/>
        <w:gridCol w:w="874"/>
        <w:gridCol w:w="1019"/>
        <w:gridCol w:w="1604"/>
        <w:gridCol w:w="1098"/>
      </w:tblGrid>
      <w:tr w14:paraId="7E076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4" w:hRule="atLeast"/>
          <w:jc w:val="center"/>
        </w:trPr>
        <w:tc>
          <w:tcPr>
            <w:tcW w:w="414" w:type="pct"/>
            <w:tcBorders>
              <w:top w:val="single" w:color="auto" w:sz="6" w:space="0"/>
              <w:left w:val="single" w:color="auto" w:sz="6" w:space="0"/>
              <w:bottom w:val="single" w:color="auto" w:sz="6" w:space="0"/>
              <w:right w:val="single" w:color="auto" w:sz="6" w:space="0"/>
            </w:tcBorders>
            <w:vAlign w:val="center"/>
          </w:tcPr>
          <w:p w14:paraId="232C628D">
            <w:pPr>
              <w:spacing w:line="260" w:lineRule="exact"/>
              <w:ind w:firstLine="0" w:firstLineChars="0"/>
              <w:jc w:val="center"/>
              <w:rPr>
                <w:rFonts w:cs="仿宋_GB2312"/>
                <w:b/>
                <w:kern w:val="0"/>
                <w:sz w:val="21"/>
                <w:szCs w:val="21"/>
              </w:rPr>
            </w:pPr>
            <w:bookmarkStart w:id="29" w:name="OLE_LINK165"/>
            <w:bookmarkStart w:id="30" w:name="OLE_LINK170"/>
            <w:r>
              <w:rPr>
                <w:rFonts w:cs="仿宋_GB2312"/>
                <w:b/>
                <w:kern w:val="0"/>
                <w:sz w:val="21"/>
                <w:szCs w:val="21"/>
              </w:rPr>
              <w:t>类别</w:t>
            </w:r>
          </w:p>
        </w:tc>
        <w:tc>
          <w:tcPr>
            <w:tcW w:w="1890" w:type="pct"/>
            <w:gridSpan w:val="2"/>
            <w:tcBorders>
              <w:top w:val="single" w:color="auto" w:sz="6" w:space="0"/>
              <w:left w:val="single" w:color="auto" w:sz="6" w:space="0"/>
              <w:bottom w:val="single" w:color="auto" w:sz="6" w:space="0"/>
              <w:right w:val="single" w:color="auto" w:sz="6" w:space="0"/>
            </w:tcBorders>
            <w:vAlign w:val="center"/>
          </w:tcPr>
          <w:p w14:paraId="358F4521">
            <w:pPr>
              <w:spacing w:line="260" w:lineRule="exact"/>
              <w:ind w:firstLine="0" w:firstLineChars="0"/>
              <w:jc w:val="center"/>
              <w:rPr>
                <w:rFonts w:cs="仿宋_GB2312"/>
                <w:b/>
                <w:kern w:val="0"/>
                <w:sz w:val="21"/>
                <w:szCs w:val="21"/>
              </w:rPr>
            </w:pPr>
            <w:r>
              <w:rPr>
                <w:rFonts w:cs="仿宋_GB2312"/>
                <w:b/>
                <w:kern w:val="0"/>
                <w:sz w:val="21"/>
                <w:szCs w:val="21"/>
              </w:rPr>
              <w:t>指标</w:t>
            </w:r>
          </w:p>
        </w:tc>
        <w:tc>
          <w:tcPr>
            <w:tcW w:w="513" w:type="pct"/>
            <w:tcBorders>
              <w:top w:val="single" w:color="auto" w:sz="6" w:space="0"/>
              <w:left w:val="single" w:color="auto" w:sz="6" w:space="0"/>
              <w:bottom w:val="single" w:color="auto" w:sz="6" w:space="0"/>
              <w:right w:val="single" w:color="auto" w:sz="6" w:space="0"/>
            </w:tcBorders>
            <w:vAlign w:val="center"/>
          </w:tcPr>
          <w:p w14:paraId="1C34F2FB">
            <w:pPr>
              <w:spacing w:line="260" w:lineRule="exact"/>
              <w:ind w:firstLine="0" w:firstLineChars="0"/>
              <w:jc w:val="center"/>
              <w:rPr>
                <w:rFonts w:cs="仿宋_GB2312"/>
                <w:b/>
                <w:kern w:val="0"/>
                <w:sz w:val="21"/>
                <w:szCs w:val="21"/>
              </w:rPr>
            </w:pPr>
            <w:r>
              <w:rPr>
                <w:rFonts w:cs="仿宋_GB2312"/>
                <w:b/>
                <w:kern w:val="0"/>
                <w:sz w:val="21"/>
                <w:szCs w:val="21"/>
              </w:rPr>
              <w:t>单位</w:t>
            </w:r>
          </w:p>
        </w:tc>
        <w:tc>
          <w:tcPr>
            <w:tcW w:w="598" w:type="pct"/>
            <w:tcBorders>
              <w:top w:val="single" w:color="auto" w:sz="6" w:space="0"/>
              <w:left w:val="single" w:color="auto" w:sz="6" w:space="0"/>
              <w:bottom w:val="single" w:color="auto" w:sz="6" w:space="0"/>
              <w:right w:val="single" w:color="auto" w:sz="6" w:space="0"/>
            </w:tcBorders>
          </w:tcPr>
          <w:p w14:paraId="776330CF">
            <w:pPr>
              <w:spacing w:line="260" w:lineRule="exact"/>
              <w:ind w:firstLine="0" w:firstLineChars="0"/>
              <w:jc w:val="center"/>
              <w:rPr>
                <w:rFonts w:cs="仿宋_GB2312"/>
                <w:b/>
                <w:kern w:val="0"/>
                <w:sz w:val="21"/>
                <w:szCs w:val="21"/>
              </w:rPr>
            </w:pPr>
            <w:r>
              <w:rPr>
                <w:rFonts w:cs="仿宋_GB2312"/>
                <w:b/>
                <w:kern w:val="0"/>
                <w:sz w:val="21"/>
                <w:szCs w:val="21"/>
              </w:rPr>
              <w:t>2025年</w:t>
            </w:r>
          </w:p>
          <w:p w14:paraId="03368772">
            <w:pPr>
              <w:spacing w:line="260" w:lineRule="exact"/>
              <w:ind w:firstLine="0" w:firstLineChars="0"/>
              <w:jc w:val="center"/>
              <w:rPr>
                <w:rFonts w:cs="仿宋_GB2312"/>
                <w:b/>
                <w:kern w:val="0"/>
                <w:sz w:val="21"/>
                <w:szCs w:val="21"/>
              </w:rPr>
            </w:pPr>
            <w:r>
              <w:rPr>
                <w:rFonts w:cs="仿宋_GB2312"/>
                <w:b/>
                <w:kern w:val="0"/>
                <w:sz w:val="21"/>
                <w:szCs w:val="21"/>
              </w:rPr>
              <w:t>目标</w:t>
            </w:r>
          </w:p>
        </w:tc>
        <w:tc>
          <w:tcPr>
            <w:tcW w:w="941" w:type="pct"/>
            <w:tcBorders>
              <w:top w:val="single" w:color="auto" w:sz="6" w:space="0"/>
              <w:left w:val="single" w:color="auto" w:sz="6" w:space="0"/>
              <w:bottom w:val="single" w:color="auto" w:sz="6" w:space="0"/>
              <w:right w:val="single" w:color="auto" w:sz="6" w:space="0"/>
            </w:tcBorders>
            <w:vAlign w:val="center"/>
          </w:tcPr>
          <w:p w14:paraId="2091294B">
            <w:pPr>
              <w:spacing w:line="260" w:lineRule="exact"/>
              <w:ind w:firstLine="0" w:firstLineChars="0"/>
              <w:jc w:val="center"/>
              <w:rPr>
                <w:rFonts w:cs="仿宋_GB2312"/>
                <w:b/>
                <w:kern w:val="0"/>
                <w:sz w:val="21"/>
                <w:szCs w:val="21"/>
              </w:rPr>
            </w:pPr>
            <w:r>
              <w:rPr>
                <w:rFonts w:cs="仿宋_GB2312"/>
                <w:b/>
                <w:kern w:val="0"/>
                <w:sz w:val="21"/>
                <w:szCs w:val="21"/>
              </w:rPr>
              <w:t>“十四五”末期完成情况</w:t>
            </w:r>
          </w:p>
        </w:tc>
        <w:tc>
          <w:tcPr>
            <w:tcW w:w="644" w:type="pct"/>
            <w:tcBorders>
              <w:top w:val="single" w:color="auto" w:sz="6" w:space="0"/>
              <w:left w:val="single" w:color="auto" w:sz="6" w:space="0"/>
              <w:bottom w:val="single" w:color="auto" w:sz="6" w:space="0"/>
              <w:right w:val="single" w:color="auto" w:sz="6" w:space="0"/>
            </w:tcBorders>
            <w:vAlign w:val="center"/>
          </w:tcPr>
          <w:p w14:paraId="2D022032">
            <w:pPr>
              <w:spacing w:line="260" w:lineRule="exact"/>
              <w:ind w:firstLine="0" w:firstLineChars="0"/>
              <w:jc w:val="center"/>
              <w:rPr>
                <w:rFonts w:cs="仿宋_GB2312"/>
                <w:b/>
                <w:kern w:val="0"/>
                <w:sz w:val="21"/>
                <w:szCs w:val="21"/>
              </w:rPr>
            </w:pPr>
            <w:r>
              <w:rPr>
                <w:rFonts w:cs="仿宋_GB2312"/>
                <w:b/>
                <w:kern w:val="0"/>
                <w:sz w:val="21"/>
                <w:szCs w:val="21"/>
              </w:rPr>
              <w:t>年均增长（%）</w:t>
            </w:r>
          </w:p>
        </w:tc>
      </w:tr>
      <w:tr w14:paraId="43AB70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46" w:hRule="atLeast"/>
          <w:jc w:val="center"/>
        </w:trPr>
        <w:tc>
          <w:tcPr>
            <w:tcW w:w="414" w:type="pct"/>
            <w:vMerge w:val="restart"/>
            <w:tcBorders>
              <w:top w:val="single" w:color="auto" w:sz="6" w:space="0"/>
              <w:left w:val="single" w:color="auto" w:sz="6" w:space="0"/>
              <w:bottom w:val="single" w:color="auto" w:sz="6" w:space="0"/>
              <w:right w:val="single" w:color="auto" w:sz="6" w:space="0"/>
            </w:tcBorders>
            <w:vAlign w:val="center"/>
          </w:tcPr>
          <w:p w14:paraId="5C4B417B">
            <w:pPr>
              <w:spacing w:line="260" w:lineRule="exact"/>
              <w:ind w:firstLine="0" w:firstLineChars="0"/>
              <w:jc w:val="center"/>
              <w:rPr>
                <w:rFonts w:cs="仿宋_GB2312"/>
                <w:kern w:val="0"/>
                <w:sz w:val="21"/>
                <w:szCs w:val="21"/>
              </w:rPr>
            </w:pPr>
            <w:bookmarkStart w:id="31" w:name="_Hlk204256235"/>
            <w:r>
              <w:rPr>
                <w:rFonts w:cs="仿宋_GB2312"/>
                <w:kern w:val="0"/>
                <w:sz w:val="21"/>
                <w:szCs w:val="21"/>
              </w:rPr>
              <w:t>综合</w:t>
            </w:r>
          </w:p>
          <w:p w14:paraId="78DAE664">
            <w:pPr>
              <w:spacing w:line="260" w:lineRule="exact"/>
              <w:ind w:firstLine="0" w:firstLineChars="0"/>
              <w:jc w:val="center"/>
              <w:rPr>
                <w:rFonts w:cs="仿宋_GB2312"/>
                <w:kern w:val="0"/>
                <w:sz w:val="21"/>
                <w:szCs w:val="21"/>
              </w:rPr>
            </w:pPr>
            <w:r>
              <w:rPr>
                <w:rFonts w:cs="仿宋_GB2312"/>
                <w:kern w:val="0"/>
                <w:sz w:val="21"/>
                <w:szCs w:val="21"/>
              </w:rPr>
              <w:t>指标</w:t>
            </w:r>
          </w:p>
        </w:tc>
        <w:tc>
          <w:tcPr>
            <w:tcW w:w="414" w:type="pct"/>
            <w:tcBorders>
              <w:top w:val="single" w:color="auto" w:sz="6" w:space="0"/>
              <w:left w:val="single" w:color="auto" w:sz="6" w:space="0"/>
              <w:bottom w:val="single" w:color="auto" w:sz="6" w:space="0"/>
              <w:right w:val="single" w:color="auto" w:sz="6" w:space="0"/>
            </w:tcBorders>
            <w:vAlign w:val="center"/>
          </w:tcPr>
          <w:p w14:paraId="6156F993">
            <w:pPr>
              <w:spacing w:line="260" w:lineRule="exact"/>
              <w:ind w:firstLine="0" w:firstLineChars="0"/>
              <w:jc w:val="center"/>
              <w:rPr>
                <w:rFonts w:cs="仿宋_GB2312"/>
                <w:kern w:val="0"/>
                <w:sz w:val="21"/>
                <w:szCs w:val="21"/>
              </w:rPr>
            </w:pPr>
            <w:r>
              <w:rPr>
                <w:rFonts w:cs="仿宋_GB2312"/>
                <w:kern w:val="0"/>
                <w:sz w:val="21"/>
                <w:szCs w:val="21"/>
              </w:rPr>
              <w:t>1</w:t>
            </w:r>
          </w:p>
        </w:tc>
        <w:tc>
          <w:tcPr>
            <w:tcW w:w="1476" w:type="pct"/>
            <w:tcBorders>
              <w:top w:val="single" w:color="auto" w:sz="6" w:space="0"/>
              <w:left w:val="single" w:color="auto" w:sz="6" w:space="0"/>
              <w:bottom w:val="single" w:color="auto" w:sz="6" w:space="0"/>
              <w:right w:val="single" w:color="auto" w:sz="6" w:space="0"/>
            </w:tcBorders>
            <w:vAlign w:val="center"/>
          </w:tcPr>
          <w:p w14:paraId="4EDC304E">
            <w:pPr>
              <w:spacing w:line="260" w:lineRule="exact"/>
              <w:ind w:firstLine="0" w:firstLineChars="0"/>
              <w:jc w:val="center"/>
              <w:rPr>
                <w:rFonts w:cs="仿宋_GB2312"/>
                <w:kern w:val="0"/>
                <w:sz w:val="21"/>
                <w:szCs w:val="21"/>
              </w:rPr>
            </w:pPr>
            <w:r>
              <w:rPr>
                <w:rFonts w:cs="仿宋_GB2312"/>
                <w:kern w:val="0"/>
                <w:sz w:val="21"/>
                <w:szCs w:val="21"/>
              </w:rPr>
              <w:t>地区生产总值</w:t>
            </w:r>
          </w:p>
        </w:tc>
        <w:tc>
          <w:tcPr>
            <w:tcW w:w="513" w:type="pct"/>
            <w:tcBorders>
              <w:top w:val="single" w:color="auto" w:sz="6" w:space="0"/>
              <w:left w:val="single" w:color="auto" w:sz="6" w:space="0"/>
              <w:bottom w:val="single" w:color="auto" w:sz="6" w:space="0"/>
              <w:right w:val="single" w:color="auto" w:sz="6" w:space="0"/>
            </w:tcBorders>
            <w:vAlign w:val="center"/>
          </w:tcPr>
          <w:p w14:paraId="0A3D52AE">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19577084">
            <w:pPr>
              <w:spacing w:line="260" w:lineRule="exact"/>
              <w:ind w:firstLine="0" w:firstLineChars="0"/>
              <w:jc w:val="center"/>
              <w:rPr>
                <w:rFonts w:cs="仿宋_GB2312"/>
                <w:kern w:val="0"/>
                <w:sz w:val="21"/>
                <w:szCs w:val="21"/>
              </w:rPr>
            </w:pPr>
            <w:r>
              <w:rPr>
                <w:rFonts w:cs="仿宋_GB2312"/>
                <w:kern w:val="0"/>
                <w:sz w:val="21"/>
                <w:szCs w:val="21"/>
              </w:rPr>
              <w:t>163.5</w:t>
            </w:r>
          </w:p>
        </w:tc>
        <w:tc>
          <w:tcPr>
            <w:tcW w:w="941" w:type="pct"/>
            <w:tcBorders>
              <w:top w:val="single" w:color="auto" w:sz="6" w:space="0"/>
              <w:left w:val="single" w:color="auto" w:sz="6" w:space="0"/>
              <w:bottom w:val="single" w:color="auto" w:sz="6" w:space="0"/>
              <w:right w:val="single" w:color="auto" w:sz="6" w:space="0"/>
            </w:tcBorders>
            <w:vAlign w:val="center"/>
          </w:tcPr>
          <w:p w14:paraId="073BEC10">
            <w:pPr>
              <w:spacing w:line="260" w:lineRule="exact"/>
              <w:ind w:firstLine="0" w:firstLineChars="0"/>
              <w:jc w:val="center"/>
              <w:rPr>
                <w:rFonts w:cs="仿宋_GB2312"/>
                <w:kern w:val="0"/>
                <w:sz w:val="21"/>
                <w:szCs w:val="21"/>
              </w:rPr>
            </w:pPr>
            <w:r>
              <w:rPr>
                <w:rFonts w:hint="eastAsia" w:cs="仿宋_GB2312"/>
                <w:kern w:val="0"/>
                <w:sz w:val="21"/>
                <w:szCs w:val="21"/>
              </w:rPr>
              <w:t>150.3</w:t>
            </w:r>
          </w:p>
        </w:tc>
        <w:tc>
          <w:tcPr>
            <w:tcW w:w="644" w:type="pct"/>
            <w:tcBorders>
              <w:top w:val="single" w:color="auto" w:sz="6" w:space="0"/>
              <w:left w:val="single" w:color="auto" w:sz="6" w:space="0"/>
              <w:bottom w:val="single" w:color="auto" w:sz="6" w:space="0"/>
              <w:right w:val="single" w:color="auto" w:sz="6" w:space="0"/>
            </w:tcBorders>
            <w:vAlign w:val="center"/>
          </w:tcPr>
          <w:p w14:paraId="4BB0DF77">
            <w:pPr>
              <w:spacing w:line="260" w:lineRule="exact"/>
              <w:ind w:firstLine="0" w:firstLineChars="0"/>
              <w:jc w:val="center"/>
              <w:rPr>
                <w:rFonts w:hint="default" w:eastAsia="仿宋_GB2312" w:cs="仿宋_GB2312"/>
                <w:kern w:val="0"/>
                <w:sz w:val="21"/>
                <w:szCs w:val="21"/>
                <w:lang w:val="en-US" w:eastAsia="zh-CN"/>
              </w:rPr>
            </w:pPr>
            <w:r>
              <w:rPr>
                <w:rFonts w:hint="eastAsia" w:cs="仿宋_GB2312"/>
                <w:kern w:val="0"/>
                <w:sz w:val="21"/>
                <w:szCs w:val="21"/>
                <w:lang w:val="en-US" w:eastAsia="zh-CN"/>
              </w:rPr>
              <w:t>4.2</w:t>
            </w:r>
          </w:p>
        </w:tc>
      </w:tr>
      <w:tr w14:paraId="59187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15AC9773">
            <w:pPr>
              <w:widowControl/>
              <w:spacing w:line="260" w:lineRule="exact"/>
              <w:ind w:firstLine="0" w:firstLineChars="0"/>
              <w:jc w:val="left"/>
              <w:rPr>
                <w:rFonts w:cs="仿宋_GB2312"/>
                <w:kern w:val="0"/>
                <w:sz w:val="21"/>
                <w:szCs w:val="21"/>
              </w:rPr>
            </w:pPr>
            <w:bookmarkStart w:id="32" w:name="_Hlk213226818"/>
          </w:p>
        </w:tc>
        <w:tc>
          <w:tcPr>
            <w:tcW w:w="414" w:type="pct"/>
            <w:tcBorders>
              <w:top w:val="single" w:color="auto" w:sz="6" w:space="0"/>
              <w:left w:val="single" w:color="auto" w:sz="6" w:space="0"/>
              <w:bottom w:val="single" w:color="auto" w:sz="6" w:space="0"/>
              <w:right w:val="single" w:color="auto" w:sz="6" w:space="0"/>
            </w:tcBorders>
            <w:vAlign w:val="center"/>
          </w:tcPr>
          <w:p w14:paraId="4597C7F8">
            <w:pPr>
              <w:spacing w:line="260" w:lineRule="exact"/>
              <w:ind w:firstLine="0" w:firstLineChars="0"/>
              <w:jc w:val="center"/>
              <w:rPr>
                <w:rFonts w:cs="仿宋_GB2312"/>
                <w:kern w:val="0"/>
                <w:sz w:val="21"/>
                <w:szCs w:val="21"/>
              </w:rPr>
            </w:pPr>
            <w:r>
              <w:rPr>
                <w:rFonts w:cs="仿宋_GB2312"/>
                <w:kern w:val="0"/>
                <w:sz w:val="21"/>
                <w:szCs w:val="21"/>
              </w:rPr>
              <w:t>2</w:t>
            </w:r>
          </w:p>
        </w:tc>
        <w:tc>
          <w:tcPr>
            <w:tcW w:w="1476" w:type="pct"/>
            <w:tcBorders>
              <w:top w:val="single" w:color="auto" w:sz="6" w:space="0"/>
              <w:left w:val="single" w:color="auto" w:sz="6" w:space="0"/>
              <w:bottom w:val="single" w:color="auto" w:sz="6" w:space="0"/>
              <w:right w:val="single" w:color="auto" w:sz="6" w:space="0"/>
            </w:tcBorders>
            <w:vAlign w:val="center"/>
          </w:tcPr>
          <w:p w14:paraId="755EB3B3">
            <w:pPr>
              <w:spacing w:line="260" w:lineRule="exact"/>
              <w:ind w:firstLine="0" w:firstLineChars="0"/>
              <w:jc w:val="center"/>
              <w:rPr>
                <w:rFonts w:cs="仿宋_GB2312"/>
                <w:kern w:val="0"/>
                <w:sz w:val="21"/>
                <w:szCs w:val="21"/>
              </w:rPr>
            </w:pPr>
            <w:r>
              <w:rPr>
                <w:rFonts w:cs="仿宋_GB2312"/>
                <w:kern w:val="0"/>
                <w:sz w:val="21"/>
                <w:szCs w:val="21"/>
              </w:rPr>
              <w:t>一般公共预算收入</w:t>
            </w:r>
          </w:p>
        </w:tc>
        <w:tc>
          <w:tcPr>
            <w:tcW w:w="513" w:type="pct"/>
            <w:tcBorders>
              <w:top w:val="single" w:color="auto" w:sz="6" w:space="0"/>
              <w:left w:val="single" w:color="auto" w:sz="6" w:space="0"/>
              <w:bottom w:val="single" w:color="auto" w:sz="6" w:space="0"/>
              <w:right w:val="single" w:color="auto" w:sz="6" w:space="0"/>
            </w:tcBorders>
            <w:vAlign w:val="center"/>
          </w:tcPr>
          <w:p w14:paraId="6259DC93">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1A1686F6">
            <w:pPr>
              <w:spacing w:line="260" w:lineRule="exact"/>
              <w:ind w:firstLine="0" w:firstLineChars="0"/>
              <w:jc w:val="center"/>
              <w:rPr>
                <w:rFonts w:cs="仿宋_GB2312"/>
                <w:kern w:val="0"/>
                <w:sz w:val="21"/>
                <w:szCs w:val="21"/>
              </w:rPr>
            </w:pPr>
            <w:r>
              <w:rPr>
                <w:rFonts w:cs="仿宋_GB2312"/>
                <w:kern w:val="0"/>
                <w:sz w:val="21"/>
                <w:szCs w:val="21"/>
              </w:rPr>
              <w:t>15.86</w:t>
            </w:r>
          </w:p>
        </w:tc>
        <w:tc>
          <w:tcPr>
            <w:tcW w:w="941" w:type="pct"/>
            <w:tcBorders>
              <w:top w:val="single" w:color="auto" w:sz="6" w:space="0"/>
              <w:left w:val="single" w:color="auto" w:sz="6" w:space="0"/>
              <w:bottom w:val="single" w:color="auto" w:sz="6" w:space="0"/>
              <w:right w:val="single" w:color="auto" w:sz="6" w:space="0"/>
            </w:tcBorders>
            <w:vAlign w:val="center"/>
          </w:tcPr>
          <w:p w14:paraId="49D790D6">
            <w:pPr>
              <w:spacing w:line="260" w:lineRule="exact"/>
              <w:ind w:firstLine="0" w:firstLineChars="0"/>
              <w:jc w:val="center"/>
              <w:rPr>
                <w:rFonts w:cs="仿宋_GB2312"/>
                <w:kern w:val="0"/>
                <w:sz w:val="21"/>
                <w:szCs w:val="21"/>
              </w:rPr>
            </w:pPr>
            <w:r>
              <w:rPr>
                <w:rFonts w:hint="eastAsia" w:cs="仿宋_GB2312"/>
                <w:kern w:val="0"/>
                <w:sz w:val="21"/>
                <w:szCs w:val="21"/>
              </w:rPr>
              <w:t>14.7</w:t>
            </w:r>
          </w:p>
        </w:tc>
        <w:tc>
          <w:tcPr>
            <w:tcW w:w="644" w:type="pct"/>
            <w:tcBorders>
              <w:top w:val="single" w:color="auto" w:sz="6" w:space="0"/>
              <w:left w:val="single" w:color="auto" w:sz="6" w:space="0"/>
              <w:bottom w:val="single" w:color="auto" w:sz="6" w:space="0"/>
              <w:right w:val="single" w:color="auto" w:sz="6" w:space="0"/>
            </w:tcBorders>
            <w:vAlign w:val="center"/>
          </w:tcPr>
          <w:p w14:paraId="019A51B4">
            <w:pPr>
              <w:spacing w:line="260" w:lineRule="exact"/>
              <w:ind w:firstLine="0" w:firstLineChars="0"/>
              <w:jc w:val="center"/>
              <w:rPr>
                <w:rFonts w:cs="仿宋_GB2312"/>
                <w:kern w:val="0"/>
                <w:sz w:val="21"/>
                <w:szCs w:val="21"/>
              </w:rPr>
            </w:pPr>
            <w:r>
              <w:rPr>
                <w:rFonts w:cs="仿宋_GB2312"/>
                <w:kern w:val="0"/>
                <w:sz w:val="21"/>
                <w:szCs w:val="21"/>
              </w:rPr>
              <w:t>5.3</w:t>
            </w:r>
          </w:p>
        </w:tc>
      </w:tr>
      <w:bookmarkEnd w:id="32"/>
      <w:tr w14:paraId="6EDD81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37C17DEC">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01AEFF3D">
            <w:pPr>
              <w:spacing w:line="260" w:lineRule="exact"/>
              <w:ind w:firstLine="0" w:firstLineChars="0"/>
              <w:jc w:val="center"/>
              <w:rPr>
                <w:rFonts w:cs="仿宋_GB2312"/>
                <w:kern w:val="0"/>
                <w:sz w:val="21"/>
                <w:szCs w:val="21"/>
              </w:rPr>
            </w:pPr>
            <w:r>
              <w:rPr>
                <w:rFonts w:cs="仿宋_GB2312"/>
                <w:kern w:val="0"/>
                <w:sz w:val="21"/>
                <w:szCs w:val="21"/>
              </w:rPr>
              <w:t>3</w:t>
            </w:r>
          </w:p>
        </w:tc>
        <w:tc>
          <w:tcPr>
            <w:tcW w:w="1476" w:type="pct"/>
            <w:tcBorders>
              <w:top w:val="single" w:color="auto" w:sz="6" w:space="0"/>
              <w:left w:val="single" w:color="auto" w:sz="6" w:space="0"/>
              <w:bottom w:val="single" w:color="auto" w:sz="6" w:space="0"/>
              <w:right w:val="single" w:color="auto" w:sz="6" w:space="0"/>
            </w:tcBorders>
            <w:vAlign w:val="center"/>
          </w:tcPr>
          <w:p w14:paraId="6B96A3CF">
            <w:pPr>
              <w:spacing w:line="260" w:lineRule="exact"/>
              <w:ind w:firstLine="0" w:firstLineChars="0"/>
              <w:jc w:val="center"/>
              <w:rPr>
                <w:rFonts w:cs="仿宋_GB2312"/>
                <w:kern w:val="0"/>
                <w:sz w:val="21"/>
                <w:szCs w:val="21"/>
              </w:rPr>
            </w:pPr>
            <w:r>
              <w:rPr>
                <w:rFonts w:cs="仿宋_GB2312"/>
                <w:kern w:val="0"/>
                <w:sz w:val="21"/>
                <w:szCs w:val="21"/>
              </w:rPr>
              <w:t>常住人口</w:t>
            </w:r>
          </w:p>
        </w:tc>
        <w:tc>
          <w:tcPr>
            <w:tcW w:w="513" w:type="pct"/>
            <w:tcBorders>
              <w:top w:val="single" w:color="auto" w:sz="6" w:space="0"/>
              <w:left w:val="single" w:color="auto" w:sz="6" w:space="0"/>
              <w:bottom w:val="single" w:color="auto" w:sz="6" w:space="0"/>
              <w:right w:val="single" w:color="auto" w:sz="6" w:space="0"/>
            </w:tcBorders>
            <w:vAlign w:val="center"/>
          </w:tcPr>
          <w:p w14:paraId="159125A4">
            <w:pPr>
              <w:spacing w:line="260" w:lineRule="exact"/>
              <w:ind w:firstLine="0" w:firstLineChars="0"/>
              <w:jc w:val="center"/>
              <w:rPr>
                <w:rFonts w:cs="仿宋_GB2312"/>
                <w:kern w:val="0"/>
                <w:sz w:val="21"/>
                <w:szCs w:val="21"/>
              </w:rPr>
            </w:pPr>
            <w:r>
              <w:rPr>
                <w:rFonts w:cs="仿宋_GB2312"/>
                <w:kern w:val="0"/>
                <w:sz w:val="21"/>
                <w:szCs w:val="21"/>
              </w:rPr>
              <w:t>万人</w:t>
            </w:r>
          </w:p>
        </w:tc>
        <w:tc>
          <w:tcPr>
            <w:tcW w:w="598" w:type="pct"/>
            <w:tcBorders>
              <w:top w:val="single" w:color="auto" w:sz="6" w:space="0"/>
              <w:left w:val="single" w:color="auto" w:sz="6" w:space="0"/>
              <w:bottom w:val="single" w:color="auto" w:sz="6" w:space="0"/>
              <w:right w:val="single" w:color="auto" w:sz="6" w:space="0"/>
            </w:tcBorders>
            <w:vAlign w:val="center"/>
          </w:tcPr>
          <w:p w14:paraId="52B94C81">
            <w:pPr>
              <w:spacing w:line="260" w:lineRule="exact"/>
              <w:ind w:firstLine="0" w:firstLineChars="0"/>
              <w:jc w:val="center"/>
              <w:rPr>
                <w:rFonts w:cs="仿宋_GB2312"/>
                <w:kern w:val="0"/>
                <w:sz w:val="21"/>
                <w:szCs w:val="21"/>
              </w:rPr>
            </w:pPr>
            <w:r>
              <w:rPr>
                <w:rFonts w:cs="仿宋_GB2312"/>
                <w:kern w:val="0"/>
                <w:sz w:val="21"/>
                <w:szCs w:val="21"/>
              </w:rPr>
              <w:t>27</w:t>
            </w:r>
          </w:p>
        </w:tc>
        <w:tc>
          <w:tcPr>
            <w:tcW w:w="941" w:type="pct"/>
            <w:tcBorders>
              <w:top w:val="single" w:color="auto" w:sz="6" w:space="0"/>
              <w:left w:val="single" w:color="auto" w:sz="6" w:space="0"/>
              <w:bottom w:val="single" w:color="auto" w:sz="6" w:space="0"/>
              <w:right w:val="single" w:color="auto" w:sz="6" w:space="0"/>
            </w:tcBorders>
            <w:vAlign w:val="center"/>
          </w:tcPr>
          <w:p w14:paraId="632CB7F0">
            <w:pPr>
              <w:spacing w:line="260" w:lineRule="exact"/>
              <w:ind w:firstLine="0" w:firstLineChars="0"/>
              <w:jc w:val="center"/>
              <w:rPr>
                <w:rFonts w:cs="仿宋_GB2312"/>
                <w:kern w:val="0"/>
                <w:sz w:val="21"/>
                <w:szCs w:val="21"/>
              </w:rPr>
            </w:pPr>
            <w:r>
              <w:rPr>
                <w:rFonts w:cs="仿宋_GB2312"/>
                <w:kern w:val="0"/>
                <w:sz w:val="21"/>
                <w:szCs w:val="21"/>
              </w:rPr>
              <w:t>27.8</w:t>
            </w:r>
          </w:p>
        </w:tc>
        <w:tc>
          <w:tcPr>
            <w:tcW w:w="644" w:type="pct"/>
            <w:tcBorders>
              <w:top w:val="single" w:color="auto" w:sz="6" w:space="0"/>
              <w:left w:val="single" w:color="auto" w:sz="6" w:space="0"/>
              <w:bottom w:val="single" w:color="auto" w:sz="6" w:space="0"/>
              <w:right w:val="single" w:color="auto" w:sz="6" w:space="0"/>
            </w:tcBorders>
            <w:vAlign w:val="center"/>
          </w:tcPr>
          <w:p w14:paraId="50A10132">
            <w:pPr>
              <w:spacing w:line="260" w:lineRule="exact"/>
              <w:ind w:firstLine="0" w:firstLineChars="0"/>
              <w:jc w:val="center"/>
              <w:rPr>
                <w:rFonts w:cs="仿宋_GB2312"/>
                <w:kern w:val="0"/>
                <w:sz w:val="21"/>
                <w:szCs w:val="21"/>
              </w:rPr>
            </w:pPr>
            <w:r>
              <w:rPr>
                <w:rFonts w:cs="仿宋_GB2312"/>
                <w:kern w:val="0"/>
                <w:sz w:val="21"/>
                <w:szCs w:val="21"/>
              </w:rPr>
              <w:t>1.3</w:t>
            </w:r>
          </w:p>
        </w:tc>
      </w:tr>
      <w:tr w14:paraId="4500A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restart"/>
            <w:tcBorders>
              <w:top w:val="single" w:color="auto" w:sz="6" w:space="0"/>
              <w:left w:val="single" w:color="auto" w:sz="6" w:space="0"/>
              <w:bottom w:val="single" w:color="auto" w:sz="6" w:space="0"/>
              <w:right w:val="single" w:color="auto" w:sz="6" w:space="0"/>
            </w:tcBorders>
            <w:vAlign w:val="center"/>
          </w:tcPr>
          <w:p w14:paraId="72267081">
            <w:pPr>
              <w:spacing w:line="260" w:lineRule="exact"/>
              <w:ind w:firstLine="0" w:firstLineChars="0"/>
              <w:jc w:val="center"/>
              <w:rPr>
                <w:rFonts w:cs="仿宋_GB2312"/>
                <w:kern w:val="0"/>
                <w:sz w:val="21"/>
                <w:szCs w:val="21"/>
              </w:rPr>
            </w:pPr>
            <w:r>
              <w:rPr>
                <w:rFonts w:cs="仿宋_GB2312"/>
                <w:kern w:val="0"/>
                <w:sz w:val="21"/>
                <w:szCs w:val="21"/>
              </w:rPr>
              <w:t>乡村</w:t>
            </w:r>
          </w:p>
          <w:p w14:paraId="6B5CF4B9">
            <w:pPr>
              <w:spacing w:line="260" w:lineRule="exact"/>
              <w:ind w:firstLine="0" w:firstLineChars="0"/>
              <w:jc w:val="center"/>
              <w:rPr>
                <w:rFonts w:cs="仿宋_GB2312"/>
                <w:kern w:val="0"/>
                <w:sz w:val="21"/>
                <w:szCs w:val="21"/>
              </w:rPr>
            </w:pPr>
            <w:r>
              <w:rPr>
                <w:rFonts w:cs="仿宋_GB2312"/>
                <w:kern w:val="0"/>
                <w:sz w:val="21"/>
                <w:szCs w:val="21"/>
              </w:rPr>
              <w:t>振兴</w:t>
            </w:r>
          </w:p>
        </w:tc>
        <w:tc>
          <w:tcPr>
            <w:tcW w:w="414" w:type="pct"/>
            <w:tcBorders>
              <w:top w:val="single" w:color="auto" w:sz="6" w:space="0"/>
              <w:left w:val="single" w:color="auto" w:sz="6" w:space="0"/>
              <w:bottom w:val="single" w:color="auto" w:sz="6" w:space="0"/>
              <w:right w:val="single" w:color="auto" w:sz="6" w:space="0"/>
            </w:tcBorders>
            <w:vAlign w:val="center"/>
          </w:tcPr>
          <w:p w14:paraId="42A691DD">
            <w:pPr>
              <w:spacing w:line="260" w:lineRule="exact"/>
              <w:ind w:firstLine="0" w:firstLineChars="0"/>
              <w:jc w:val="center"/>
              <w:rPr>
                <w:rFonts w:cs="仿宋_GB2312"/>
                <w:kern w:val="0"/>
                <w:sz w:val="21"/>
                <w:szCs w:val="21"/>
              </w:rPr>
            </w:pPr>
            <w:r>
              <w:rPr>
                <w:rFonts w:cs="仿宋_GB2312"/>
                <w:kern w:val="0"/>
                <w:sz w:val="21"/>
                <w:szCs w:val="21"/>
              </w:rPr>
              <w:t>4</w:t>
            </w:r>
          </w:p>
        </w:tc>
        <w:tc>
          <w:tcPr>
            <w:tcW w:w="1476" w:type="pct"/>
            <w:tcBorders>
              <w:top w:val="single" w:color="auto" w:sz="6" w:space="0"/>
              <w:left w:val="single" w:color="auto" w:sz="6" w:space="0"/>
              <w:bottom w:val="single" w:color="auto" w:sz="6" w:space="0"/>
              <w:right w:val="single" w:color="auto" w:sz="6" w:space="0"/>
            </w:tcBorders>
            <w:vAlign w:val="center"/>
          </w:tcPr>
          <w:p w14:paraId="10C2F968">
            <w:pPr>
              <w:spacing w:line="260" w:lineRule="exact"/>
              <w:ind w:firstLine="0" w:firstLineChars="0"/>
              <w:jc w:val="center"/>
              <w:rPr>
                <w:rFonts w:cs="仿宋_GB2312"/>
                <w:kern w:val="0"/>
                <w:sz w:val="21"/>
                <w:szCs w:val="21"/>
              </w:rPr>
            </w:pPr>
            <w:r>
              <w:rPr>
                <w:rFonts w:cs="仿宋_GB2312"/>
                <w:kern w:val="0"/>
                <w:sz w:val="21"/>
                <w:szCs w:val="21"/>
              </w:rPr>
              <w:t>农民人均可支配收入</w:t>
            </w:r>
          </w:p>
        </w:tc>
        <w:tc>
          <w:tcPr>
            <w:tcW w:w="513" w:type="pct"/>
            <w:tcBorders>
              <w:top w:val="single" w:color="auto" w:sz="6" w:space="0"/>
              <w:left w:val="single" w:color="auto" w:sz="6" w:space="0"/>
              <w:bottom w:val="single" w:color="auto" w:sz="6" w:space="0"/>
              <w:right w:val="single" w:color="auto" w:sz="6" w:space="0"/>
            </w:tcBorders>
            <w:vAlign w:val="center"/>
          </w:tcPr>
          <w:p w14:paraId="7F2E0D28">
            <w:pPr>
              <w:spacing w:line="260" w:lineRule="exact"/>
              <w:ind w:firstLine="0" w:firstLineChars="0"/>
              <w:jc w:val="center"/>
              <w:rPr>
                <w:rFonts w:cs="仿宋_GB2312"/>
                <w:kern w:val="0"/>
                <w:sz w:val="21"/>
                <w:szCs w:val="21"/>
              </w:rPr>
            </w:pPr>
            <w:r>
              <w:rPr>
                <w:rFonts w:cs="仿宋_GB2312"/>
                <w:kern w:val="0"/>
                <w:sz w:val="21"/>
                <w:szCs w:val="21"/>
              </w:rPr>
              <w:t>元</w:t>
            </w:r>
          </w:p>
        </w:tc>
        <w:tc>
          <w:tcPr>
            <w:tcW w:w="598" w:type="pct"/>
            <w:tcBorders>
              <w:top w:val="single" w:color="auto" w:sz="6" w:space="0"/>
              <w:left w:val="single" w:color="auto" w:sz="6" w:space="0"/>
              <w:bottom w:val="single" w:color="auto" w:sz="6" w:space="0"/>
              <w:right w:val="single" w:color="auto" w:sz="6" w:space="0"/>
            </w:tcBorders>
            <w:vAlign w:val="center"/>
          </w:tcPr>
          <w:p w14:paraId="750340AC">
            <w:pPr>
              <w:spacing w:line="260" w:lineRule="exact"/>
              <w:ind w:firstLine="0" w:firstLineChars="0"/>
              <w:jc w:val="center"/>
              <w:rPr>
                <w:rFonts w:cs="仿宋_GB2312"/>
                <w:kern w:val="0"/>
                <w:sz w:val="21"/>
                <w:szCs w:val="21"/>
              </w:rPr>
            </w:pPr>
            <w:r>
              <w:rPr>
                <w:rFonts w:cs="仿宋_GB2312"/>
                <w:kern w:val="0"/>
                <w:sz w:val="21"/>
                <w:szCs w:val="21"/>
              </w:rPr>
              <w:t>25126</w:t>
            </w:r>
          </w:p>
        </w:tc>
        <w:tc>
          <w:tcPr>
            <w:tcW w:w="941" w:type="pct"/>
            <w:tcBorders>
              <w:top w:val="single" w:color="auto" w:sz="6" w:space="0"/>
              <w:left w:val="single" w:color="auto" w:sz="6" w:space="0"/>
              <w:bottom w:val="single" w:color="auto" w:sz="6" w:space="0"/>
              <w:right w:val="single" w:color="auto" w:sz="6" w:space="0"/>
            </w:tcBorders>
            <w:vAlign w:val="center"/>
          </w:tcPr>
          <w:p w14:paraId="07894C60">
            <w:pPr>
              <w:spacing w:line="260" w:lineRule="exact"/>
              <w:ind w:firstLine="0" w:firstLineChars="0"/>
              <w:jc w:val="center"/>
              <w:rPr>
                <w:rFonts w:cs="仿宋_GB2312"/>
                <w:kern w:val="0"/>
                <w:sz w:val="21"/>
                <w:szCs w:val="21"/>
              </w:rPr>
            </w:pPr>
            <w:bookmarkStart w:id="33" w:name="OLE_LINK251"/>
            <w:bookmarkStart w:id="34" w:name="OLE_LINK249"/>
            <w:r>
              <w:rPr>
                <w:rFonts w:hint="eastAsia" w:cs="仿宋_GB2312"/>
                <w:kern w:val="0"/>
                <w:sz w:val="21"/>
                <w:szCs w:val="21"/>
              </w:rPr>
              <w:t>23729</w:t>
            </w:r>
            <w:bookmarkEnd w:id="33"/>
            <w:bookmarkEnd w:id="34"/>
          </w:p>
        </w:tc>
        <w:tc>
          <w:tcPr>
            <w:tcW w:w="644" w:type="pct"/>
            <w:tcBorders>
              <w:top w:val="single" w:color="auto" w:sz="6" w:space="0"/>
              <w:left w:val="single" w:color="auto" w:sz="6" w:space="0"/>
              <w:bottom w:val="single" w:color="auto" w:sz="6" w:space="0"/>
              <w:right w:val="single" w:color="auto" w:sz="6" w:space="0"/>
            </w:tcBorders>
            <w:vAlign w:val="center"/>
          </w:tcPr>
          <w:p w14:paraId="13076694">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63C8DF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4BB5A7BF">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5CE278F1">
            <w:pPr>
              <w:spacing w:line="260" w:lineRule="exact"/>
              <w:ind w:firstLine="0" w:firstLineChars="0"/>
              <w:jc w:val="center"/>
              <w:rPr>
                <w:rFonts w:cs="仿宋_GB2312"/>
                <w:kern w:val="0"/>
                <w:sz w:val="21"/>
                <w:szCs w:val="21"/>
              </w:rPr>
            </w:pPr>
            <w:r>
              <w:rPr>
                <w:rFonts w:cs="仿宋_GB2312"/>
                <w:kern w:val="0"/>
                <w:sz w:val="21"/>
                <w:szCs w:val="21"/>
              </w:rPr>
              <w:t>5</w:t>
            </w:r>
          </w:p>
        </w:tc>
        <w:tc>
          <w:tcPr>
            <w:tcW w:w="1476" w:type="pct"/>
            <w:tcBorders>
              <w:top w:val="single" w:color="auto" w:sz="6" w:space="0"/>
              <w:left w:val="single" w:color="auto" w:sz="6" w:space="0"/>
              <w:bottom w:val="single" w:color="auto" w:sz="6" w:space="0"/>
              <w:right w:val="single" w:color="auto" w:sz="6" w:space="0"/>
            </w:tcBorders>
            <w:vAlign w:val="center"/>
          </w:tcPr>
          <w:p w14:paraId="618C1B52">
            <w:pPr>
              <w:spacing w:line="260" w:lineRule="exact"/>
              <w:ind w:firstLine="0" w:firstLineChars="0"/>
              <w:jc w:val="center"/>
              <w:rPr>
                <w:rFonts w:cs="仿宋_GB2312"/>
                <w:kern w:val="0"/>
                <w:sz w:val="21"/>
                <w:szCs w:val="21"/>
              </w:rPr>
            </w:pPr>
            <w:r>
              <w:rPr>
                <w:rFonts w:cs="仿宋_GB2312"/>
                <w:kern w:val="0"/>
                <w:sz w:val="21"/>
                <w:szCs w:val="21"/>
              </w:rPr>
              <w:t>贫困人口数</w:t>
            </w:r>
          </w:p>
        </w:tc>
        <w:tc>
          <w:tcPr>
            <w:tcW w:w="513" w:type="pct"/>
            <w:tcBorders>
              <w:top w:val="single" w:color="auto" w:sz="6" w:space="0"/>
              <w:left w:val="single" w:color="auto" w:sz="6" w:space="0"/>
              <w:bottom w:val="single" w:color="auto" w:sz="6" w:space="0"/>
              <w:right w:val="single" w:color="auto" w:sz="6" w:space="0"/>
            </w:tcBorders>
            <w:vAlign w:val="center"/>
          </w:tcPr>
          <w:p w14:paraId="40DBA1AC">
            <w:pPr>
              <w:spacing w:line="260" w:lineRule="exact"/>
              <w:ind w:firstLine="0" w:firstLineChars="0"/>
              <w:jc w:val="center"/>
              <w:rPr>
                <w:rFonts w:cs="仿宋_GB2312"/>
                <w:kern w:val="0"/>
                <w:sz w:val="21"/>
                <w:szCs w:val="21"/>
              </w:rPr>
            </w:pPr>
            <w:r>
              <w:rPr>
                <w:rFonts w:cs="仿宋_GB2312"/>
                <w:kern w:val="0"/>
                <w:sz w:val="21"/>
                <w:szCs w:val="21"/>
              </w:rPr>
              <w:t>人</w:t>
            </w:r>
          </w:p>
        </w:tc>
        <w:tc>
          <w:tcPr>
            <w:tcW w:w="598" w:type="pct"/>
            <w:tcBorders>
              <w:top w:val="single" w:color="auto" w:sz="6" w:space="0"/>
              <w:left w:val="single" w:color="auto" w:sz="6" w:space="0"/>
              <w:bottom w:val="single" w:color="auto" w:sz="6" w:space="0"/>
              <w:right w:val="single" w:color="auto" w:sz="6" w:space="0"/>
            </w:tcBorders>
            <w:vAlign w:val="center"/>
          </w:tcPr>
          <w:p w14:paraId="4B8D3444">
            <w:pPr>
              <w:spacing w:line="260" w:lineRule="exact"/>
              <w:ind w:firstLine="0" w:firstLineChars="0"/>
              <w:jc w:val="center"/>
              <w:rPr>
                <w:rFonts w:cs="仿宋_GB2312"/>
                <w:kern w:val="0"/>
                <w:sz w:val="21"/>
                <w:szCs w:val="21"/>
              </w:rPr>
            </w:pPr>
            <w:r>
              <w:rPr>
                <w:rFonts w:cs="仿宋_GB2312"/>
                <w:kern w:val="0"/>
                <w:sz w:val="21"/>
                <w:szCs w:val="21"/>
              </w:rPr>
              <w:t>0</w:t>
            </w:r>
          </w:p>
        </w:tc>
        <w:tc>
          <w:tcPr>
            <w:tcW w:w="941" w:type="pct"/>
            <w:tcBorders>
              <w:top w:val="single" w:color="auto" w:sz="6" w:space="0"/>
              <w:left w:val="single" w:color="auto" w:sz="6" w:space="0"/>
              <w:bottom w:val="single" w:color="auto" w:sz="6" w:space="0"/>
              <w:right w:val="single" w:color="auto" w:sz="6" w:space="0"/>
            </w:tcBorders>
            <w:vAlign w:val="center"/>
          </w:tcPr>
          <w:p w14:paraId="66AC8C62">
            <w:pPr>
              <w:spacing w:line="260" w:lineRule="exact"/>
              <w:ind w:firstLine="0" w:firstLineChars="0"/>
              <w:jc w:val="center"/>
              <w:rPr>
                <w:rFonts w:cs="仿宋_GB2312"/>
                <w:kern w:val="0"/>
                <w:sz w:val="21"/>
                <w:szCs w:val="21"/>
              </w:rPr>
            </w:pPr>
            <w:r>
              <w:rPr>
                <w:rFonts w:cs="仿宋_GB2312"/>
                <w:kern w:val="0"/>
                <w:sz w:val="21"/>
                <w:szCs w:val="21"/>
              </w:rPr>
              <w:t>0</w:t>
            </w:r>
          </w:p>
        </w:tc>
        <w:tc>
          <w:tcPr>
            <w:tcW w:w="644" w:type="pct"/>
            <w:tcBorders>
              <w:top w:val="single" w:color="auto" w:sz="6" w:space="0"/>
              <w:left w:val="single" w:color="auto" w:sz="6" w:space="0"/>
              <w:bottom w:val="single" w:color="auto" w:sz="6" w:space="0"/>
              <w:right w:val="single" w:color="auto" w:sz="6" w:space="0"/>
            </w:tcBorders>
            <w:vAlign w:val="center"/>
          </w:tcPr>
          <w:p w14:paraId="113F2E67">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470ACF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2E9DB1B6">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4C9373E1">
            <w:pPr>
              <w:spacing w:line="260" w:lineRule="exact"/>
              <w:ind w:firstLine="0" w:firstLineChars="0"/>
              <w:jc w:val="center"/>
              <w:rPr>
                <w:rFonts w:cs="仿宋_GB2312"/>
                <w:kern w:val="0"/>
                <w:sz w:val="21"/>
                <w:szCs w:val="21"/>
              </w:rPr>
            </w:pPr>
            <w:r>
              <w:rPr>
                <w:rFonts w:cs="仿宋_GB2312"/>
                <w:kern w:val="0"/>
                <w:sz w:val="21"/>
                <w:szCs w:val="21"/>
              </w:rPr>
              <w:t>6</w:t>
            </w:r>
          </w:p>
        </w:tc>
        <w:tc>
          <w:tcPr>
            <w:tcW w:w="1476" w:type="pct"/>
            <w:tcBorders>
              <w:top w:val="single" w:color="auto" w:sz="6" w:space="0"/>
              <w:left w:val="single" w:color="auto" w:sz="6" w:space="0"/>
              <w:bottom w:val="single" w:color="auto" w:sz="6" w:space="0"/>
              <w:right w:val="single" w:color="auto" w:sz="6" w:space="0"/>
            </w:tcBorders>
            <w:vAlign w:val="center"/>
          </w:tcPr>
          <w:p w14:paraId="48076A1F">
            <w:pPr>
              <w:spacing w:line="260" w:lineRule="exact"/>
              <w:ind w:firstLine="0" w:firstLineChars="0"/>
              <w:jc w:val="center"/>
              <w:rPr>
                <w:rFonts w:cs="仿宋_GB2312"/>
                <w:kern w:val="0"/>
                <w:sz w:val="21"/>
                <w:szCs w:val="21"/>
              </w:rPr>
            </w:pPr>
            <w:r>
              <w:rPr>
                <w:rFonts w:cs="仿宋_GB2312"/>
                <w:kern w:val="0"/>
                <w:sz w:val="21"/>
                <w:szCs w:val="21"/>
              </w:rPr>
              <w:t>粮食综合生产能力</w:t>
            </w:r>
          </w:p>
        </w:tc>
        <w:tc>
          <w:tcPr>
            <w:tcW w:w="513" w:type="pct"/>
            <w:tcBorders>
              <w:top w:val="single" w:color="auto" w:sz="6" w:space="0"/>
              <w:left w:val="single" w:color="auto" w:sz="6" w:space="0"/>
              <w:bottom w:val="single" w:color="auto" w:sz="6" w:space="0"/>
              <w:right w:val="single" w:color="auto" w:sz="6" w:space="0"/>
            </w:tcBorders>
            <w:vAlign w:val="center"/>
          </w:tcPr>
          <w:p w14:paraId="038016EC">
            <w:pPr>
              <w:spacing w:line="260" w:lineRule="exact"/>
              <w:ind w:firstLine="0" w:firstLineChars="0"/>
              <w:jc w:val="center"/>
              <w:rPr>
                <w:rFonts w:cs="仿宋_GB2312"/>
                <w:kern w:val="0"/>
                <w:sz w:val="21"/>
                <w:szCs w:val="21"/>
              </w:rPr>
            </w:pPr>
            <w:r>
              <w:rPr>
                <w:rFonts w:cs="仿宋_GB2312"/>
                <w:kern w:val="0"/>
                <w:sz w:val="21"/>
                <w:szCs w:val="21"/>
              </w:rPr>
              <w:t>亿斤</w:t>
            </w:r>
          </w:p>
        </w:tc>
        <w:tc>
          <w:tcPr>
            <w:tcW w:w="598" w:type="pct"/>
            <w:tcBorders>
              <w:top w:val="single" w:color="auto" w:sz="6" w:space="0"/>
              <w:left w:val="single" w:color="auto" w:sz="6" w:space="0"/>
              <w:bottom w:val="single" w:color="auto" w:sz="6" w:space="0"/>
              <w:right w:val="single" w:color="auto" w:sz="6" w:space="0"/>
            </w:tcBorders>
            <w:vAlign w:val="center"/>
          </w:tcPr>
          <w:p w14:paraId="2B0A0F4A">
            <w:pPr>
              <w:spacing w:line="260" w:lineRule="exact"/>
              <w:ind w:firstLine="0" w:firstLineChars="0"/>
              <w:jc w:val="center"/>
              <w:rPr>
                <w:rFonts w:cs="仿宋_GB2312"/>
                <w:kern w:val="0"/>
                <w:sz w:val="21"/>
                <w:szCs w:val="21"/>
              </w:rPr>
            </w:pPr>
            <w:r>
              <w:rPr>
                <w:rFonts w:cs="仿宋_GB2312"/>
                <w:kern w:val="0"/>
                <w:sz w:val="21"/>
                <w:szCs w:val="21"/>
              </w:rPr>
              <w:t>12</w:t>
            </w:r>
          </w:p>
        </w:tc>
        <w:tc>
          <w:tcPr>
            <w:tcW w:w="941" w:type="pct"/>
            <w:tcBorders>
              <w:top w:val="single" w:color="auto" w:sz="6" w:space="0"/>
              <w:left w:val="single" w:color="auto" w:sz="6" w:space="0"/>
              <w:bottom w:val="single" w:color="auto" w:sz="6" w:space="0"/>
              <w:right w:val="single" w:color="auto" w:sz="6" w:space="0"/>
            </w:tcBorders>
            <w:vAlign w:val="center"/>
          </w:tcPr>
          <w:p w14:paraId="2BC04A3F">
            <w:pPr>
              <w:spacing w:line="260" w:lineRule="exact"/>
              <w:ind w:firstLine="0" w:firstLineChars="0"/>
              <w:jc w:val="center"/>
              <w:rPr>
                <w:rFonts w:cs="仿宋_GB2312"/>
                <w:kern w:val="0"/>
                <w:sz w:val="21"/>
                <w:szCs w:val="21"/>
              </w:rPr>
            </w:pPr>
            <w:r>
              <w:rPr>
                <w:rFonts w:cs="仿宋_GB2312"/>
                <w:kern w:val="0"/>
                <w:sz w:val="21"/>
                <w:szCs w:val="21"/>
              </w:rPr>
              <w:t>13.06</w:t>
            </w:r>
          </w:p>
        </w:tc>
        <w:tc>
          <w:tcPr>
            <w:tcW w:w="644" w:type="pct"/>
            <w:tcBorders>
              <w:top w:val="single" w:color="auto" w:sz="6" w:space="0"/>
              <w:left w:val="single" w:color="auto" w:sz="6" w:space="0"/>
              <w:bottom w:val="single" w:color="auto" w:sz="6" w:space="0"/>
              <w:right w:val="single" w:color="auto" w:sz="6" w:space="0"/>
            </w:tcBorders>
            <w:vAlign w:val="center"/>
          </w:tcPr>
          <w:p w14:paraId="4B043C4A">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0355E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3"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47AF1576">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5322007C">
            <w:pPr>
              <w:spacing w:line="260" w:lineRule="exact"/>
              <w:ind w:firstLine="0" w:firstLineChars="0"/>
              <w:jc w:val="center"/>
              <w:rPr>
                <w:rFonts w:cs="仿宋_GB2312"/>
                <w:kern w:val="0"/>
                <w:sz w:val="21"/>
                <w:szCs w:val="21"/>
              </w:rPr>
            </w:pPr>
            <w:r>
              <w:rPr>
                <w:rFonts w:cs="仿宋_GB2312"/>
                <w:kern w:val="0"/>
                <w:sz w:val="21"/>
                <w:szCs w:val="21"/>
              </w:rPr>
              <w:t>7</w:t>
            </w:r>
          </w:p>
        </w:tc>
        <w:tc>
          <w:tcPr>
            <w:tcW w:w="1476" w:type="pct"/>
            <w:tcBorders>
              <w:top w:val="single" w:color="auto" w:sz="6" w:space="0"/>
              <w:left w:val="single" w:color="auto" w:sz="6" w:space="0"/>
              <w:bottom w:val="single" w:color="auto" w:sz="6" w:space="0"/>
              <w:right w:val="single" w:color="auto" w:sz="6" w:space="0"/>
            </w:tcBorders>
            <w:vAlign w:val="center"/>
          </w:tcPr>
          <w:p w14:paraId="08EBA13F">
            <w:pPr>
              <w:spacing w:line="260" w:lineRule="exact"/>
              <w:ind w:firstLine="0" w:firstLineChars="0"/>
              <w:jc w:val="center"/>
              <w:rPr>
                <w:rFonts w:cs="仿宋_GB2312"/>
                <w:kern w:val="0"/>
                <w:sz w:val="21"/>
                <w:szCs w:val="21"/>
              </w:rPr>
            </w:pPr>
            <w:r>
              <w:rPr>
                <w:rFonts w:cs="仿宋_GB2312"/>
                <w:kern w:val="0"/>
                <w:sz w:val="21"/>
                <w:szCs w:val="21"/>
              </w:rPr>
              <w:t>耕地保有量</w:t>
            </w:r>
          </w:p>
        </w:tc>
        <w:tc>
          <w:tcPr>
            <w:tcW w:w="513" w:type="pct"/>
            <w:tcBorders>
              <w:top w:val="single" w:color="auto" w:sz="6" w:space="0"/>
              <w:left w:val="single" w:color="auto" w:sz="6" w:space="0"/>
              <w:bottom w:val="single" w:color="auto" w:sz="6" w:space="0"/>
              <w:right w:val="single" w:color="auto" w:sz="6" w:space="0"/>
            </w:tcBorders>
            <w:vAlign w:val="center"/>
          </w:tcPr>
          <w:p w14:paraId="74C67577">
            <w:pPr>
              <w:spacing w:line="260" w:lineRule="exact"/>
              <w:ind w:firstLine="0" w:firstLineChars="0"/>
              <w:jc w:val="center"/>
              <w:rPr>
                <w:rFonts w:cs="仿宋_GB2312"/>
                <w:kern w:val="0"/>
                <w:sz w:val="21"/>
                <w:szCs w:val="21"/>
              </w:rPr>
            </w:pPr>
            <w:r>
              <w:rPr>
                <w:rFonts w:cs="仿宋_GB2312"/>
                <w:kern w:val="0"/>
                <w:sz w:val="21"/>
                <w:szCs w:val="21"/>
              </w:rPr>
              <w:t>公顷</w:t>
            </w:r>
          </w:p>
        </w:tc>
        <w:tc>
          <w:tcPr>
            <w:tcW w:w="598" w:type="pct"/>
            <w:tcBorders>
              <w:top w:val="single" w:color="auto" w:sz="6" w:space="0"/>
              <w:left w:val="single" w:color="auto" w:sz="6" w:space="0"/>
              <w:bottom w:val="single" w:color="auto" w:sz="6" w:space="0"/>
              <w:right w:val="single" w:color="auto" w:sz="6" w:space="0"/>
            </w:tcBorders>
            <w:vAlign w:val="center"/>
          </w:tcPr>
          <w:p w14:paraId="55172FEE">
            <w:pPr>
              <w:spacing w:line="260" w:lineRule="exact"/>
              <w:ind w:firstLine="0" w:firstLineChars="0"/>
              <w:jc w:val="center"/>
              <w:rPr>
                <w:rFonts w:cs="仿宋_GB2312"/>
                <w:kern w:val="0"/>
                <w:sz w:val="21"/>
                <w:szCs w:val="21"/>
              </w:rPr>
            </w:pPr>
            <w:r>
              <w:rPr>
                <w:rFonts w:cs="仿宋_GB2312"/>
                <w:kern w:val="0"/>
                <w:sz w:val="21"/>
                <w:szCs w:val="21"/>
              </w:rPr>
              <w:t>118810</w:t>
            </w:r>
          </w:p>
        </w:tc>
        <w:tc>
          <w:tcPr>
            <w:tcW w:w="941" w:type="pct"/>
            <w:tcBorders>
              <w:top w:val="single" w:color="auto" w:sz="6" w:space="0"/>
              <w:left w:val="single" w:color="auto" w:sz="6" w:space="0"/>
              <w:bottom w:val="single" w:color="auto" w:sz="6" w:space="0"/>
              <w:right w:val="single" w:color="auto" w:sz="6" w:space="0"/>
            </w:tcBorders>
            <w:vAlign w:val="center"/>
          </w:tcPr>
          <w:p w14:paraId="3571B5B9">
            <w:pPr>
              <w:spacing w:line="260" w:lineRule="exact"/>
              <w:ind w:firstLine="0" w:firstLineChars="0"/>
              <w:jc w:val="center"/>
              <w:rPr>
                <w:rFonts w:cs="仿宋_GB2312"/>
                <w:kern w:val="0"/>
                <w:sz w:val="21"/>
                <w:szCs w:val="21"/>
              </w:rPr>
            </w:pPr>
            <w:r>
              <w:rPr>
                <w:rFonts w:cs="仿宋_GB2312"/>
                <w:kern w:val="0"/>
                <w:sz w:val="21"/>
                <w:szCs w:val="21"/>
              </w:rPr>
              <w:t>118810</w:t>
            </w:r>
          </w:p>
        </w:tc>
        <w:tc>
          <w:tcPr>
            <w:tcW w:w="644" w:type="pct"/>
            <w:tcBorders>
              <w:top w:val="single" w:color="auto" w:sz="6" w:space="0"/>
              <w:left w:val="single" w:color="auto" w:sz="6" w:space="0"/>
              <w:bottom w:val="single" w:color="auto" w:sz="6" w:space="0"/>
              <w:right w:val="single" w:color="auto" w:sz="6" w:space="0"/>
            </w:tcBorders>
            <w:vAlign w:val="center"/>
          </w:tcPr>
          <w:p w14:paraId="7D43A7F2">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071DFE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restart"/>
            <w:tcBorders>
              <w:top w:val="single" w:color="auto" w:sz="6" w:space="0"/>
              <w:left w:val="single" w:color="auto" w:sz="6" w:space="0"/>
              <w:bottom w:val="single" w:color="auto" w:sz="6" w:space="0"/>
              <w:right w:val="single" w:color="auto" w:sz="6" w:space="0"/>
            </w:tcBorders>
            <w:vAlign w:val="center"/>
          </w:tcPr>
          <w:p w14:paraId="084006E8">
            <w:pPr>
              <w:spacing w:line="260" w:lineRule="exact"/>
              <w:ind w:firstLine="0" w:firstLineChars="0"/>
              <w:jc w:val="center"/>
              <w:rPr>
                <w:rFonts w:cs="仿宋_GB2312"/>
                <w:kern w:val="0"/>
                <w:sz w:val="21"/>
                <w:szCs w:val="21"/>
              </w:rPr>
            </w:pPr>
            <w:r>
              <w:rPr>
                <w:rFonts w:cs="仿宋_GB2312"/>
                <w:kern w:val="0"/>
                <w:sz w:val="21"/>
                <w:szCs w:val="21"/>
              </w:rPr>
              <w:t>营商</w:t>
            </w:r>
          </w:p>
          <w:p w14:paraId="1BABA9A8">
            <w:pPr>
              <w:spacing w:line="260" w:lineRule="exact"/>
              <w:ind w:firstLine="0" w:firstLineChars="0"/>
              <w:jc w:val="center"/>
              <w:rPr>
                <w:rFonts w:cs="仿宋_GB2312"/>
                <w:kern w:val="0"/>
                <w:sz w:val="21"/>
                <w:szCs w:val="21"/>
              </w:rPr>
            </w:pPr>
            <w:r>
              <w:rPr>
                <w:rFonts w:cs="仿宋_GB2312"/>
                <w:kern w:val="0"/>
                <w:sz w:val="21"/>
                <w:szCs w:val="21"/>
              </w:rPr>
              <w:t>环境</w:t>
            </w:r>
          </w:p>
        </w:tc>
        <w:tc>
          <w:tcPr>
            <w:tcW w:w="414" w:type="pct"/>
            <w:tcBorders>
              <w:top w:val="single" w:color="auto" w:sz="6" w:space="0"/>
              <w:left w:val="single" w:color="auto" w:sz="6" w:space="0"/>
              <w:bottom w:val="single" w:color="auto" w:sz="6" w:space="0"/>
              <w:right w:val="single" w:color="auto" w:sz="6" w:space="0"/>
            </w:tcBorders>
            <w:vAlign w:val="center"/>
          </w:tcPr>
          <w:p w14:paraId="4279EE18">
            <w:pPr>
              <w:spacing w:line="260" w:lineRule="exact"/>
              <w:ind w:firstLine="0" w:firstLineChars="0"/>
              <w:jc w:val="center"/>
              <w:rPr>
                <w:rFonts w:cs="仿宋_GB2312"/>
                <w:kern w:val="0"/>
                <w:sz w:val="21"/>
                <w:szCs w:val="21"/>
              </w:rPr>
            </w:pPr>
            <w:r>
              <w:rPr>
                <w:rFonts w:cs="仿宋_GB2312"/>
                <w:kern w:val="0"/>
                <w:sz w:val="21"/>
                <w:szCs w:val="21"/>
              </w:rPr>
              <w:t>8</w:t>
            </w:r>
          </w:p>
        </w:tc>
        <w:tc>
          <w:tcPr>
            <w:tcW w:w="1476" w:type="pct"/>
            <w:tcBorders>
              <w:top w:val="single" w:color="auto" w:sz="6" w:space="0"/>
              <w:left w:val="single" w:color="auto" w:sz="6" w:space="0"/>
              <w:bottom w:val="single" w:color="auto" w:sz="6" w:space="0"/>
              <w:right w:val="single" w:color="auto" w:sz="6" w:space="0"/>
            </w:tcBorders>
            <w:vAlign w:val="center"/>
          </w:tcPr>
          <w:p w14:paraId="3F1B3C81">
            <w:pPr>
              <w:spacing w:line="260" w:lineRule="exact"/>
              <w:ind w:firstLine="0" w:firstLineChars="0"/>
              <w:jc w:val="center"/>
              <w:rPr>
                <w:rFonts w:cs="仿宋_GB2312"/>
                <w:kern w:val="0"/>
                <w:sz w:val="21"/>
                <w:szCs w:val="21"/>
              </w:rPr>
            </w:pPr>
            <w:r>
              <w:rPr>
                <w:rFonts w:cs="仿宋_GB2312"/>
                <w:kern w:val="0"/>
                <w:sz w:val="21"/>
                <w:szCs w:val="21"/>
              </w:rPr>
              <w:t>企业主体数</w:t>
            </w:r>
          </w:p>
        </w:tc>
        <w:tc>
          <w:tcPr>
            <w:tcW w:w="513" w:type="pct"/>
            <w:tcBorders>
              <w:top w:val="single" w:color="auto" w:sz="6" w:space="0"/>
              <w:left w:val="single" w:color="auto" w:sz="6" w:space="0"/>
              <w:bottom w:val="single" w:color="auto" w:sz="6" w:space="0"/>
              <w:right w:val="single" w:color="auto" w:sz="6" w:space="0"/>
            </w:tcBorders>
            <w:vAlign w:val="center"/>
          </w:tcPr>
          <w:p w14:paraId="2F12B2DF">
            <w:pPr>
              <w:spacing w:line="260" w:lineRule="exact"/>
              <w:ind w:firstLine="0" w:firstLineChars="0"/>
              <w:jc w:val="center"/>
              <w:rPr>
                <w:rFonts w:cs="仿宋_GB2312"/>
                <w:kern w:val="0"/>
                <w:sz w:val="21"/>
                <w:szCs w:val="21"/>
              </w:rPr>
            </w:pPr>
            <w:r>
              <w:rPr>
                <w:rFonts w:cs="仿宋_GB2312"/>
                <w:kern w:val="0"/>
                <w:sz w:val="21"/>
                <w:szCs w:val="21"/>
              </w:rPr>
              <w:t>个</w:t>
            </w:r>
          </w:p>
        </w:tc>
        <w:tc>
          <w:tcPr>
            <w:tcW w:w="598" w:type="pct"/>
            <w:tcBorders>
              <w:top w:val="single" w:color="auto" w:sz="6" w:space="0"/>
              <w:left w:val="single" w:color="auto" w:sz="6" w:space="0"/>
              <w:bottom w:val="single" w:color="auto" w:sz="6" w:space="0"/>
              <w:right w:val="single" w:color="auto" w:sz="6" w:space="0"/>
            </w:tcBorders>
            <w:vAlign w:val="center"/>
          </w:tcPr>
          <w:p w14:paraId="552F786D">
            <w:pPr>
              <w:spacing w:line="260" w:lineRule="exact"/>
              <w:ind w:firstLine="0" w:firstLineChars="0"/>
              <w:jc w:val="center"/>
              <w:rPr>
                <w:rFonts w:cs="仿宋_GB2312"/>
                <w:kern w:val="0"/>
                <w:sz w:val="21"/>
                <w:szCs w:val="21"/>
              </w:rPr>
            </w:pPr>
            <w:r>
              <w:rPr>
                <w:rFonts w:cs="仿宋_GB2312"/>
                <w:kern w:val="0"/>
                <w:sz w:val="21"/>
                <w:szCs w:val="21"/>
              </w:rPr>
              <w:t>6500</w:t>
            </w:r>
          </w:p>
        </w:tc>
        <w:tc>
          <w:tcPr>
            <w:tcW w:w="941" w:type="pct"/>
            <w:tcBorders>
              <w:top w:val="single" w:color="auto" w:sz="6" w:space="0"/>
              <w:left w:val="single" w:color="auto" w:sz="6" w:space="0"/>
              <w:bottom w:val="single" w:color="auto" w:sz="6" w:space="0"/>
              <w:right w:val="single" w:color="auto" w:sz="6" w:space="0"/>
            </w:tcBorders>
            <w:vAlign w:val="center"/>
          </w:tcPr>
          <w:p w14:paraId="1B5CA477">
            <w:pPr>
              <w:spacing w:line="260" w:lineRule="exact"/>
              <w:ind w:firstLine="0" w:firstLineChars="0"/>
              <w:jc w:val="center"/>
              <w:rPr>
                <w:rFonts w:cs="仿宋_GB2312"/>
                <w:kern w:val="0"/>
                <w:sz w:val="21"/>
                <w:szCs w:val="21"/>
              </w:rPr>
            </w:pPr>
            <w:r>
              <w:rPr>
                <w:rFonts w:cs="仿宋_GB2312"/>
                <w:kern w:val="0"/>
                <w:sz w:val="21"/>
                <w:szCs w:val="21"/>
              </w:rPr>
              <w:t>9400</w:t>
            </w:r>
          </w:p>
        </w:tc>
        <w:tc>
          <w:tcPr>
            <w:tcW w:w="644" w:type="pct"/>
            <w:tcBorders>
              <w:top w:val="single" w:color="auto" w:sz="6" w:space="0"/>
              <w:left w:val="single" w:color="auto" w:sz="6" w:space="0"/>
              <w:bottom w:val="single" w:color="auto" w:sz="6" w:space="0"/>
              <w:right w:val="single" w:color="auto" w:sz="6" w:space="0"/>
            </w:tcBorders>
            <w:vAlign w:val="center"/>
          </w:tcPr>
          <w:p w14:paraId="6CA8715B">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17191E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3B578520">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72123143">
            <w:pPr>
              <w:spacing w:line="260" w:lineRule="exact"/>
              <w:ind w:firstLine="0" w:firstLineChars="0"/>
              <w:jc w:val="center"/>
              <w:rPr>
                <w:rFonts w:cs="仿宋_GB2312"/>
                <w:kern w:val="0"/>
                <w:sz w:val="21"/>
                <w:szCs w:val="21"/>
              </w:rPr>
            </w:pPr>
            <w:r>
              <w:rPr>
                <w:rFonts w:cs="仿宋_GB2312"/>
                <w:kern w:val="0"/>
                <w:sz w:val="21"/>
                <w:szCs w:val="21"/>
              </w:rPr>
              <w:t>9</w:t>
            </w:r>
          </w:p>
        </w:tc>
        <w:tc>
          <w:tcPr>
            <w:tcW w:w="1476" w:type="pct"/>
            <w:tcBorders>
              <w:top w:val="single" w:color="auto" w:sz="6" w:space="0"/>
              <w:left w:val="single" w:color="auto" w:sz="6" w:space="0"/>
              <w:bottom w:val="single" w:color="auto" w:sz="6" w:space="0"/>
              <w:right w:val="single" w:color="auto" w:sz="6" w:space="0"/>
            </w:tcBorders>
            <w:vAlign w:val="center"/>
          </w:tcPr>
          <w:p w14:paraId="447B08F1">
            <w:pPr>
              <w:spacing w:line="260" w:lineRule="exact"/>
              <w:ind w:firstLine="0" w:firstLineChars="0"/>
              <w:jc w:val="center"/>
              <w:rPr>
                <w:rFonts w:cs="仿宋_GB2312"/>
                <w:kern w:val="0"/>
                <w:sz w:val="21"/>
                <w:szCs w:val="21"/>
              </w:rPr>
            </w:pPr>
            <w:r>
              <w:rPr>
                <w:rFonts w:hint="eastAsia" w:cs="仿宋_GB2312"/>
                <w:kern w:val="0"/>
                <w:sz w:val="21"/>
                <w:szCs w:val="21"/>
              </w:rPr>
              <w:t>社会消费品零售总额</w:t>
            </w:r>
          </w:p>
        </w:tc>
        <w:tc>
          <w:tcPr>
            <w:tcW w:w="513" w:type="pct"/>
            <w:tcBorders>
              <w:top w:val="single" w:color="auto" w:sz="6" w:space="0"/>
              <w:left w:val="single" w:color="auto" w:sz="6" w:space="0"/>
              <w:bottom w:val="single" w:color="auto" w:sz="6" w:space="0"/>
              <w:right w:val="single" w:color="auto" w:sz="6" w:space="0"/>
            </w:tcBorders>
            <w:vAlign w:val="center"/>
          </w:tcPr>
          <w:p w14:paraId="2F05A03D">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442D1B68">
            <w:pPr>
              <w:spacing w:line="260" w:lineRule="exact"/>
              <w:ind w:firstLine="0" w:firstLineChars="0"/>
              <w:jc w:val="center"/>
              <w:rPr>
                <w:rFonts w:cs="仿宋_GB2312"/>
                <w:kern w:val="0"/>
                <w:sz w:val="21"/>
                <w:szCs w:val="21"/>
              </w:rPr>
            </w:pPr>
            <w:r>
              <w:rPr>
                <w:rFonts w:cs="仿宋_GB2312"/>
                <w:kern w:val="0"/>
                <w:sz w:val="21"/>
                <w:szCs w:val="21"/>
              </w:rPr>
              <w:t>62</w:t>
            </w:r>
          </w:p>
        </w:tc>
        <w:tc>
          <w:tcPr>
            <w:tcW w:w="941" w:type="pct"/>
            <w:tcBorders>
              <w:top w:val="single" w:color="auto" w:sz="6" w:space="0"/>
              <w:left w:val="single" w:color="auto" w:sz="6" w:space="0"/>
              <w:bottom w:val="single" w:color="auto" w:sz="6" w:space="0"/>
              <w:right w:val="single" w:color="auto" w:sz="6" w:space="0"/>
            </w:tcBorders>
            <w:vAlign w:val="center"/>
          </w:tcPr>
          <w:p w14:paraId="68FF9A48">
            <w:pPr>
              <w:spacing w:line="260" w:lineRule="exact"/>
              <w:ind w:firstLine="0" w:firstLineChars="0"/>
              <w:jc w:val="center"/>
              <w:rPr>
                <w:rFonts w:cs="仿宋_GB2312"/>
                <w:kern w:val="0"/>
                <w:sz w:val="21"/>
                <w:szCs w:val="21"/>
              </w:rPr>
            </w:pPr>
            <w:r>
              <w:rPr>
                <w:rFonts w:hint="eastAsia" w:cs="仿宋_GB2312"/>
                <w:kern w:val="0"/>
                <w:sz w:val="21"/>
                <w:szCs w:val="21"/>
              </w:rPr>
              <w:t>33</w:t>
            </w:r>
          </w:p>
        </w:tc>
        <w:tc>
          <w:tcPr>
            <w:tcW w:w="644" w:type="pct"/>
            <w:tcBorders>
              <w:top w:val="single" w:color="auto" w:sz="6" w:space="0"/>
              <w:left w:val="single" w:color="auto" w:sz="6" w:space="0"/>
              <w:bottom w:val="single" w:color="auto" w:sz="6" w:space="0"/>
              <w:right w:val="single" w:color="auto" w:sz="6" w:space="0"/>
            </w:tcBorders>
            <w:vAlign w:val="center"/>
          </w:tcPr>
          <w:p w14:paraId="11E51C14">
            <w:pPr>
              <w:spacing w:line="260" w:lineRule="exact"/>
              <w:ind w:firstLine="0" w:firstLineChars="0"/>
              <w:jc w:val="center"/>
              <w:rPr>
                <w:rFonts w:hint="default" w:eastAsia="仿宋_GB2312" w:cs="仿宋_GB2312"/>
                <w:kern w:val="0"/>
                <w:sz w:val="21"/>
                <w:szCs w:val="21"/>
                <w:lang w:val="en-US" w:eastAsia="zh-CN"/>
              </w:rPr>
            </w:pPr>
            <w:r>
              <w:rPr>
                <w:rFonts w:hint="eastAsia" w:cs="仿宋_GB2312"/>
                <w:kern w:val="0"/>
                <w:sz w:val="21"/>
                <w:szCs w:val="21"/>
                <w:lang w:val="en-US" w:eastAsia="zh-CN"/>
              </w:rPr>
              <w:t>1.5</w:t>
            </w:r>
          </w:p>
        </w:tc>
      </w:tr>
      <w:tr w14:paraId="18705E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06F7036E">
            <w:pPr>
              <w:widowControl/>
              <w:spacing w:line="260" w:lineRule="exact"/>
              <w:ind w:firstLine="0" w:firstLineChars="0"/>
              <w:jc w:val="left"/>
              <w:rPr>
                <w:rFonts w:cs="仿宋_GB2312"/>
                <w:kern w:val="0"/>
                <w:sz w:val="21"/>
                <w:szCs w:val="21"/>
              </w:rPr>
            </w:pPr>
            <w:bookmarkStart w:id="35" w:name="_Hlk212709658"/>
          </w:p>
        </w:tc>
        <w:tc>
          <w:tcPr>
            <w:tcW w:w="414" w:type="pct"/>
            <w:tcBorders>
              <w:top w:val="single" w:color="auto" w:sz="6" w:space="0"/>
              <w:left w:val="single" w:color="auto" w:sz="6" w:space="0"/>
              <w:bottom w:val="single" w:color="auto" w:sz="6" w:space="0"/>
              <w:right w:val="single" w:color="auto" w:sz="6" w:space="0"/>
            </w:tcBorders>
            <w:vAlign w:val="center"/>
          </w:tcPr>
          <w:p w14:paraId="4F213840">
            <w:pPr>
              <w:spacing w:line="260" w:lineRule="exact"/>
              <w:ind w:firstLine="0" w:firstLineChars="0"/>
              <w:jc w:val="center"/>
              <w:rPr>
                <w:rFonts w:cs="仿宋_GB2312"/>
                <w:kern w:val="0"/>
                <w:sz w:val="21"/>
                <w:szCs w:val="21"/>
              </w:rPr>
            </w:pPr>
            <w:r>
              <w:rPr>
                <w:rFonts w:cs="仿宋_GB2312"/>
                <w:kern w:val="0"/>
                <w:sz w:val="21"/>
                <w:szCs w:val="21"/>
              </w:rPr>
              <w:t>10</w:t>
            </w:r>
          </w:p>
        </w:tc>
        <w:tc>
          <w:tcPr>
            <w:tcW w:w="1476" w:type="pct"/>
            <w:tcBorders>
              <w:top w:val="single" w:color="auto" w:sz="6" w:space="0"/>
              <w:left w:val="single" w:color="auto" w:sz="6" w:space="0"/>
              <w:bottom w:val="single" w:color="auto" w:sz="6" w:space="0"/>
              <w:right w:val="single" w:color="auto" w:sz="6" w:space="0"/>
            </w:tcBorders>
            <w:vAlign w:val="center"/>
          </w:tcPr>
          <w:p w14:paraId="2149E56B">
            <w:pPr>
              <w:spacing w:line="260" w:lineRule="exact"/>
              <w:ind w:firstLine="0" w:firstLineChars="0"/>
              <w:jc w:val="center"/>
              <w:rPr>
                <w:rFonts w:cs="仿宋_GB2312"/>
                <w:kern w:val="0"/>
                <w:sz w:val="21"/>
                <w:szCs w:val="21"/>
              </w:rPr>
            </w:pPr>
            <w:r>
              <w:rPr>
                <w:rFonts w:cs="仿宋_GB2312"/>
                <w:kern w:val="0"/>
                <w:sz w:val="21"/>
                <w:szCs w:val="21"/>
              </w:rPr>
              <w:t>外贸进出口</w:t>
            </w:r>
          </w:p>
        </w:tc>
        <w:tc>
          <w:tcPr>
            <w:tcW w:w="513" w:type="pct"/>
            <w:tcBorders>
              <w:top w:val="single" w:color="auto" w:sz="6" w:space="0"/>
              <w:left w:val="single" w:color="auto" w:sz="6" w:space="0"/>
              <w:bottom w:val="single" w:color="auto" w:sz="6" w:space="0"/>
              <w:right w:val="single" w:color="auto" w:sz="6" w:space="0"/>
            </w:tcBorders>
            <w:vAlign w:val="center"/>
          </w:tcPr>
          <w:p w14:paraId="32DA7A31">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73A535E1">
            <w:pPr>
              <w:spacing w:line="260" w:lineRule="exact"/>
              <w:ind w:firstLine="0" w:firstLineChars="0"/>
              <w:jc w:val="center"/>
              <w:rPr>
                <w:rFonts w:cs="仿宋_GB2312"/>
                <w:kern w:val="0"/>
                <w:sz w:val="21"/>
                <w:szCs w:val="21"/>
              </w:rPr>
            </w:pPr>
            <w:r>
              <w:rPr>
                <w:rFonts w:cs="仿宋_GB2312"/>
                <w:kern w:val="0"/>
                <w:sz w:val="21"/>
                <w:szCs w:val="21"/>
              </w:rPr>
              <w:t>1.5</w:t>
            </w:r>
          </w:p>
        </w:tc>
        <w:tc>
          <w:tcPr>
            <w:tcW w:w="941" w:type="pct"/>
            <w:tcBorders>
              <w:top w:val="single" w:color="auto" w:sz="6" w:space="0"/>
              <w:left w:val="single" w:color="auto" w:sz="6" w:space="0"/>
              <w:bottom w:val="single" w:color="auto" w:sz="6" w:space="0"/>
              <w:right w:val="single" w:color="auto" w:sz="6" w:space="0"/>
            </w:tcBorders>
            <w:vAlign w:val="center"/>
          </w:tcPr>
          <w:p w14:paraId="67C35C8A">
            <w:pPr>
              <w:spacing w:line="260" w:lineRule="exact"/>
              <w:ind w:firstLine="0" w:firstLineChars="0"/>
              <w:jc w:val="center"/>
              <w:rPr>
                <w:rFonts w:cs="仿宋_GB2312"/>
                <w:kern w:val="0"/>
                <w:sz w:val="21"/>
                <w:szCs w:val="21"/>
              </w:rPr>
            </w:pPr>
            <w:r>
              <w:rPr>
                <w:rFonts w:cs="仿宋_GB2312"/>
                <w:kern w:val="0"/>
                <w:sz w:val="21"/>
                <w:szCs w:val="21"/>
              </w:rPr>
              <w:t>0.52</w:t>
            </w:r>
          </w:p>
        </w:tc>
        <w:tc>
          <w:tcPr>
            <w:tcW w:w="644" w:type="pct"/>
            <w:tcBorders>
              <w:top w:val="single" w:color="auto" w:sz="6" w:space="0"/>
              <w:left w:val="single" w:color="auto" w:sz="6" w:space="0"/>
              <w:bottom w:val="single" w:color="auto" w:sz="6" w:space="0"/>
              <w:right w:val="single" w:color="auto" w:sz="6" w:space="0"/>
            </w:tcBorders>
            <w:vAlign w:val="center"/>
          </w:tcPr>
          <w:p w14:paraId="3AAAABAF">
            <w:pPr>
              <w:spacing w:line="260" w:lineRule="exact"/>
              <w:ind w:firstLine="0" w:firstLineChars="0"/>
              <w:jc w:val="center"/>
              <w:rPr>
                <w:rFonts w:cs="仿宋_GB2312"/>
                <w:kern w:val="0"/>
                <w:sz w:val="21"/>
                <w:szCs w:val="21"/>
              </w:rPr>
            </w:pPr>
            <w:r>
              <w:rPr>
                <w:rFonts w:cs="仿宋_GB2312"/>
                <w:kern w:val="0"/>
                <w:sz w:val="21"/>
                <w:szCs w:val="21"/>
              </w:rPr>
              <w:t>-12.2</w:t>
            </w:r>
          </w:p>
        </w:tc>
      </w:tr>
      <w:tr w14:paraId="1B801DF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top w:val="single" w:color="auto" w:sz="6" w:space="0"/>
              <w:left w:val="single" w:color="auto" w:sz="6" w:space="0"/>
              <w:bottom w:val="single" w:color="auto" w:sz="6" w:space="0"/>
              <w:right w:val="single" w:color="auto" w:sz="6" w:space="0"/>
            </w:tcBorders>
            <w:vAlign w:val="center"/>
          </w:tcPr>
          <w:p w14:paraId="773624D6">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6B052772">
            <w:pPr>
              <w:spacing w:line="260" w:lineRule="exact"/>
              <w:ind w:firstLine="0" w:firstLineChars="0"/>
              <w:jc w:val="center"/>
              <w:rPr>
                <w:rFonts w:cs="仿宋_GB2312"/>
                <w:kern w:val="0"/>
                <w:sz w:val="21"/>
                <w:szCs w:val="21"/>
              </w:rPr>
            </w:pPr>
            <w:r>
              <w:rPr>
                <w:rFonts w:cs="仿宋_GB2312"/>
                <w:kern w:val="0"/>
                <w:sz w:val="21"/>
                <w:szCs w:val="21"/>
              </w:rPr>
              <w:t>11</w:t>
            </w:r>
          </w:p>
        </w:tc>
        <w:tc>
          <w:tcPr>
            <w:tcW w:w="1476" w:type="pct"/>
            <w:tcBorders>
              <w:top w:val="single" w:color="auto" w:sz="6" w:space="0"/>
              <w:left w:val="single" w:color="auto" w:sz="6" w:space="0"/>
              <w:bottom w:val="single" w:color="auto" w:sz="6" w:space="0"/>
              <w:right w:val="single" w:color="auto" w:sz="6" w:space="0"/>
            </w:tcBorders>
            <w:vAlign w:val="center"/>
          </w:tcPr>
          <w:p w14:paraId="0806305B">
            <w:pPr>
              <w:spacing w:line="260" w:lineRule="exact"/>
              <w:ind w:firstLine="0" w:firstLineChars="0"/>
              <w:jc w:val="center"/>
              <w:rPr>
                <w:rFonts w:cs="仿宋_GB2312"/>
                <w:kern w:val="0"/>
                <w:sz w:val="21"/>
                <w:szCs w:val="21"/>
              </w:rPr>
            </w:pPr>
            <w:r>
              <w:rPr>
                <w:rFonts w:cs="仿宋_GB2312"/>
                <w:kern w:val="0"/>
                <w:sz w:val="21"/>
                <w:szCs w:val="21"/>
              </w:rPr>
              <w:t>实际利用外资</w:t>
            </w:r>
          </w:p>
        </w:tc>
        <w:tc>
          <w:tcPr>
            <w:tcW w:w="513" w:type="pct"/>
            <w:tcBorders>
              <w:top w:val="single" w:color="auto" w:sz="6" w:space="0"/>
              <w:left w:val="single" w:color="auto" w:sz="6" w:space="0"/>
              <w:bottom w:val="single" w:color="auto" w:sz="6" w:space="0"/>
              <w:right w:val="single" w:color="auto" w:sz="6" w:space="0"/>
            </w:tcBorders>
            <w:vAlign w:val="center"/>
          </w:tcPr>
          <w:p w14:paraId="760FE00D">
            <w:pPr>
              <w:spacing w:line="260" w:lineRule="exact"/>
              <w:ind w:firstLine="0" w:firstLineChars="0"/>
              <w:jc w:val="center"/>
              <w:rPr>
                <w:rFonts w:cs="仿宋_GB2312"/>
                <w:kern w:val="0"/>
                <w:sz w:val="21"/>
                <w:szCs w:val="21"/>
              </w:rPr>
            </w:pPr>
            <w:r>
              <w:rPr>
                <w:rFonts w:cs="仿宋_GB2312"/>
                <w:kern w:val="0"/>
                <w:sz w:val="21"/>
                <w:szCs w:val="21"/>
              </w:rPr>
              <w:t>万美元</w:t>
            </w:r>
          </w:p>
        </w:tc>
        <w:tc>
          <w:tcPr>
            <w:tcW w:w="598" w:type="pct"/>
            <w:tcBorders>
              <w:top w:val="single" w:color="auto" w:sz="6" w:space="0"/>
              <w:left w:val="single" w:color="auto" w:sz="6" w:space="0"/>
              <w:bottom w:val="single" w:color="auto" w:sz="6" w:space="0"/>
              <w:right w:val="single" w:color="auto" w:sz="6" w:space="0"/>
            </w:tcBorders>
            <w:vAlign w:val="center"/>
          </w:tcPr>
          <w:p w14:paraId="06608718">
            <w:pPr>
              <w:spacing w:line="260" w:lineRule="exact"/>
              <w:ind w:firstLine="0" w:firstLineChars="0"/>
              <w:jc w:val="center"/>
              <w:rPr>
                <w:rFonts w:cs="仿宋_GB2312"/>
                <w:kern w:val="0"/>
                <w:sz w:val="21"/>
                <w:szCs w:val="21"/>
              </w:rPr>
            </w:pPr>
            <w:r>
              <w:rPr>
                <w:rFonts w:cs="仿宋_GB2312"/>
                <w:kern w:val="0"/>
                <w:sz w:val="21"/>
                <w:szCs w:val="21"/>
              </w:rPr>
              <w:t>1800</w:t>
            </w:r>
          </w:p>
        </w:tc>
        <w:tc>
          <w:tcPr>
            <w:tcW w:w="941" w:type="pct"/>
            <w:tcBorders>
              <w:top w:val="single" w:color="auto" w:sz="6" w:space="0"/>
              <w:left w:val="single" w:color="auto" w:sz="6" w:space="0"/>
              <w:bottom w:val="single" w:color="auto" w:sz="6" w:space="0"/>
              <w:right w:val="single" w:color="auto" w:sz="6" w:space="0"/>
            </w:tcBorders>
          </w:tcPr>
          <w:p w14:paraId="0931DAE4">
            <w:pPr>
              <w:spacing w:line="260" w:lineRule="exact"/>
              <w:ind w:firstLine="0" w:firstLineChars="0"/>
              <w:jc w:val="center"/>
              <w:rPr>
                <w:rFonts w:cs="仿宋_GB2312"/>
                <w:kern w:val="0"/>
                <w:sz w:val="21"/>
                <w:szCs w:val="21"/>
              </w:rPr>
            </w:pPr>
            <w:r>
              <w:rPr>
                <w:rFonts w:cs="仿宋_GB2312"/>
                <w:kern w:val="0"/>
                <w:sz w:val="21"/>
                <w:szCs w:val="21"/>
              </w:rPr>
              <w:t>2700</w:t>
            </w:r>
          </w:p>
        </w:tc>
        <w:tc>
          <w:tcPr>
            <w:tcW w:w="644" w:type="pct"/>
            <w:tcBorders>
              <w:top w:val="single" w:color="auto" w:sz="6" w:space="0"/>
              <w:left w:val="single" w:color="auto" w:sz="6" w:space="0"/>
              <w:bottom w:val="single" w:color="auto" w:sz="6" w:space="0"/>
              <w:right w:val="single" w:color="auto" w:sz="6" w:space="0"/>
            </w:tcBorders>
          </w:tcPr>
          <w:p w14:paraId="704CBE98">
            <w:pPr>
              <w:spacing w:line="260" w:lineRule="exact"/>
              <w:ind w:firstLine="0" w:firstLineChars="0"/>
              <w:jc w:val="center"/>
              <w:rPr>
                <w:rFonts w:cs="仿宋_GB2312"/>
                <w:kern w:val="0"/>
                <w:sz w:val="21"/>
                <w:szCs w:val="21"/>
              </w:rPr>
            </w:pPr>
            <w:r>
              <w:rPr>
                <w:rFonts w:cs="仿宋_GB2312"/>
                <w:kern w:val="0"/>
                <w:sz w:val="21"/>
                <w:szCs w:val="21"/>
              </w:rPr>
              <w:t>18.9</w:t>
            </w:r>
          </w:p>
        </w:tc>
      </w:tr>
      <w:bookmarkEnd w:id="35"/>
      <w:tr w14:paraId="69A361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restart"/>
            <w:tcBorders>
              <w:top w:val="single" w:color="auto" w:sz="6" w:space="0"/>
              <w:left w:val="single" w:color="auto" w:sz="6" w:space="0"/>
              <w:right w:val="single" w:color="auto" w:sz="6" w:space="0"/>
            </w:tcBorders>
            <w:vAlign w:val="center"/>
          </w:tcPr>
          <w:p w14:paraId="3AD7D107">
            <w:pPr>
              <w:spacing w:line="260" w:lineRule="exact"/>
              <w:ind w:firstLine="0" w:firstLineChars="0"/>
              <w:jc w:val="center"/>
              <w:rPr>
                <w:rFonts w:cs="仿宋_GB2312"/>
                <w:kern w:val="0"/>
                <w:sz w:val="21"/>
                <w:szCs w:val="21"/>
              </w:rPr>
            </w:pPr>
            <w:bookmarkStart w:id="36" w:name="_Hlk212817522"/>
            <w:r>
              <w:rPr>
                <w:rFonts w:cs="仿宋_GB2312"/>
                <w:kern w:val="0"/>
                <w:sz w:val="21"/>
                <w:szCs w:val="21"/>
              </w:rPr>
              <w:t>工业</w:t>
            </w:r>
          </w:p>
          <w:p w14:paraId="1FF0FF3D">
            <w:pPr>
              <w:spacing w:line="260" w:lineRule="exact"/>
              <w:ind w:firstLine="0" w:firstLineChars="0"/>
              <w:jc w:val="center"/>
              <w:rPr>
                <w:rFonts w:cs="仿宋_GB2312"/>
                <w:kern w:val="0"/>
                <w:sz w:val="21"/>
                <w:szCs w:val="21"/>
              </w:rPr>
            </w:pPr>
            <w:r>
              <w:rPr>
                <w:rFonts w:cs="仿宋_GB2312"/>
                <w:kern w:val="0"/>
                <w:sz w:val="21"/>
                <w:szCs w:val="21"/>
              </w:rPr>
              <w:t>发展</w:t>
            </w:r>
          </w:p>
        </w:tc>
        <w:tc>
          <w:tcPr>
            <w:tcW w:w="414" w:type="pct"/>
            <w:tcBorders>
              <w:top w:val="single" w:color="auto" w:sz="6" w:space="0"/>
              <w:left w:val="single" w:color="auto" w:sz="6" w:space="0"/>
              <w:bottom w:val="single" w:color="auto" w:sz="6" w:space="0"/>
              <w:right w:val="single" w:color="auto" w:sz="6" w:space="0"/>
            </w:tcBorders>
            <w:vAlign w:val="center"/>
          </w:tcPr>
          <w:p w14:paraId="412E9322">
            <w:pPr>
              <w:spacing w:line="260" w:lineRule="exact"/>
              <w:ind w:firstLine="0" w:firstLineChars="0"/>
              <w:jc w:val="center"/>
              <w:rPr>
                <w:rFonts w:cs="仿宋_GB2312"/>
                <w:kern w:val="0"/>
                <w:sz w:val="21"/>
                <w:szCs w:val="21"/>
              </w:rPr>
            </w:pPr>
            <w:r>
              <w:rPr>
                <w:rFonts w:cs="仿宋_GB2312"/>
                <w:kern w:val="0"/>
                <w:sz w:val="21"/>
                <w:szCs w:val="21"/>
              </w:rPr>
              <w:t>12</w:t>
            </w:r>
          </w:p>
        </w:tc>
        <w:tc>
          <w:tcPr>
            <w:tcW w:w="1476" w:type="pct"/>
            <w:tcBorders>
              <w:top w:val="single" w:color="auto" w:sz="6" w:space="0"/>
              <w:left w:val="single" w:color="auto" w:sz="6" w:space="0"/>
              <w:bottom w:val="single" w:color="auto" w:sz="6" w:space="0"/>
              <w:right w:val="single" w:color="auto" w:sz="6" w:space="0"/>
            </w:tcBorders>
            <w:vAlign w:val="center"/>
          </w:tcPr>
          <w:p w14:paraId="7A9B7435">
            <w:pPr>
              <w:spacing w:line="260" w:lineRule="exact"/>
              <w:ind w:firstLine="0" w:firstLineChars="0"/>
              <w:jc w:val="center"/>
              <w:rPr>
                <w:rFonts w:cs="仿宋_GB2312"/>
                <w:kern w:val="0"/>
                <w:sz w:val="21"/>
                <w:szCs w:val="21"/>
              </w:rPr>
            </w:pPr>
            <w:r>
              <w:rPr>
                <w:rFonts w:cs="仿宋_GB2312"/>
                <w:kern w:val="0"/>
                <w:sz w:val="21"/>
                <w:szCs w:val="21"/>
              </w:rPr>
              <w:t>规模以上工业产值</w:t>
            </w:r>
          </w:p>
        </w:tc>
        <w:tc>
          <w:tcPr>
            <w:tcW w:w="513" w:type="pct"/>
            <w:tcBorders>
              <w:top w:val="single" w:color="auto" w:sz="6" w:space="0"/>
              <w:left w:val="single" w:color="auto" w:sz="6" w:space="0"/>
              <w:bottom w:val="single" w:color="auto" w:sz="6" w:space="0"/>
              <w:right w:val="single" w:color="auto" w:sz="6" w:space="0"/>
            </w:tcBorders>
            <w:vAlign w:val="center"/>
          </w:tcPr>
          <w:p w14:paraId="62D923BF">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31AE2DA2">
            <w:pPr>
              <w:spacing w:line="260" w:lineRule="exact"/>
              <w:ind w:firstLine="0" w:firstLineChars="0"/>
              <w:jc w:val="center"/>
              <w:rPr>
                <w:rFonts w:cs="仿宋_GB2312"/>
                <w:kern w:val="0"/>
                <w:sz w:val="21"/>
                <w:szCs w:val="21"/>
              </w:rPr>
            </w:pPr>
            <w:r>
              <w:rPr>
                <w:rFonts w:cs="仿宋_GB2312"/>
                <w:kern w:val="0"/>
                <w:sz w:val="21"/>
                <w:szCs w:val="21"/>
              </w:rPr>
              <w:t>88.5</w:t>
            </w:r>
          </w:p>
        </w:tc>
        <w:tc>
          <w:tcPr>
            <w:tcW w:w="941" w:type="pct"/>
            <w:tcBorders>
              <w:top w:val="single" w:color="auto" w:sz="6" w:space="0"/>
              <w:left w:val="single" w:color="auto" w:sz="6" w:space="0"/>
              <w:bottom w:val="single" w:color="auto" w:sz="6" w:space="0"/>
              <w:right w:val="single" w:color="auto" w:sz="6" w:space="0"/>
            </w:tcBorders>
            <w:vAlign w:val="center"/>
          </w:tcPr>
          <w:p w14:paraId="7D9DAE60">
            <w:pPr>
              <w:spacing w:line="260" w:lineRule="exact"/>
              <w:ind w:firstLine="0" w:firstLineChars="0"/>
              <w:jc w:val="center"/>
              <w:rPr>
                <w:rFonts w:cs="仿宋_GB2312"/>
                <w:kern w:val="0"/>
                <w:sz w:val="21"/>
                <w:szCs w:val="21"/>
              </w:rPr>
            </w:pPr>
            <w:r>
              <w:rPr>
                <w:rFonts w:cs="仿宋_GB2312"/>
                <w:kern w:val="0"/>
                <w:sz w:val="21"/>
                <w:szCs w:val="21"/>
              </w:rPr>
              <w:t>49</w:t>
            </w:r>
            <w:r>
              <w:rPr>
                <w:rFonts w:hint="eastAsia" w:cs="仿宋_GB2312"/>
                <w:kern w:val="0"/>
                <w:sz w:val="21"/>
                <w:szCs w:val="21"/>
              </w:rPr>
              <w:t>.1</w:t>
            </w:r>
          </w:p>
        </w:tc>
        <w:tc>
          <w:tcPr>
            <w:tcW w:w="644" w:type="pct"/>
            <w:tcBorders>
              <w:top w:val="single" w:color="auto" w:sz="6" w:space="0"/>
              <w:left w:val="single" w:color="auto" w:sz="6" w:space="0"/>
              <w:bottom w:val="single" w:color="auto" w:sz="6" w:space="0"/>
              <w:right w:val="single" w:color="auto" w:sz="6" w:space="0"/>
            </w:tcBorders>
            <w:vAlign w:val="center"/>
          </w:tcPr>
          <w:p w14:paraId="7D1A82D4">
            <w:pPr>
              <w:spacing w:line="260" w:lineRule="exact"/>
              <w:ind w:firstLine="0" w:firstLineChars="0"/>
              <w:jc w:val="center"/>
              <w:rPr>
                <w:rFonts w:cs="仿宋_GB2312"/>
                <w:kern w:val="0"/>
                <w:sz w:val="21"/>
                <w:szCs w:val="21"/>
              </w:rPr>
            </w:pPr>
            <w:r>
              <w:rPr>
                <w:rFonts w:cs="仿宋_GB2312"/>
                <w:kern w:val="0"/>
                <w:sz w:val="21"/>
                <w:szCs w:val="21"/>
              </w:rPr>
              <w:t>2.2</w:t>
            </w:r>
          </w:p>
        </w:tc>
      </w:tr>
      <w:bookmarkEnd w:id="36"/>
      <w:tr w14:paraId="0653E4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4579743A">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31CAE70F">
            <w:pPr>
              <w:spacing w:line="260" w:lineRule="exact"/>
              <w:ind w:firstLine="0" w:firstLineChars="0"/>
              <w:jc w:val="center"/>
              <w:rPr>
                <w:rFonts w:cs="仿宋_GB2312"/>
                <w:kern w:val="0"/>
                <w:sz w:val="21"/>
                <w:szCs w:val="21"/>
              </w:rPr>
            </w:pPr>
            <w:r>
              <w:rPr>
                <w:rFonts w:cs="仿宋_GB2312"/>
                <w:kern w:val="0"/>
                <w:sz w:val="21"/>
                <w:szCs w:val="21"/>
              </w:rPr>
              <w:t>13</w:t>
            </w:r>
          </w:p>
        </w:tc>
        <w:tc>
          <w:tcPr>
            <w:tcW w:w="1476" w:type="pct"/>
            <w:tcBorders>
              <w:top w:val="single" w:color="auto" w:sz="6" w:space="0"/>
              <w:left w:val="single" w:color="auto" w:sz="6" w:space="0"/>
              <w:bottom w:val="single" w:color="auto" w:sz="6" w:space="0"/>
              <w:right w:val="single" w:color="auto" w:sz="6" w:space="0"/>
            </w:tcBorders>
            <w:vAlign w:val="center"/>
          </w:tcPr>
          <w:p w14:paraId="4783A02C">
            <w:pPr>
              <w:spacing w:line="260" w:lineRule="exact"/>
              <w:ind w:firstLine="0" w:firstLineChars="0"/>
              <w:jc w:val="center"/>
              <w:rPr>
                <w:rFonts w:cs="仿宋_GB2312"/>
                <w:kern w:val="0"/>
                <w:sz w:val="21"/>
                <w:szCs w:val="21"/>
              </w:rPr>
            </w:pPr>
            <w:r>
              <w:rPr>
                <w:rFonts w:cs="仿宋_GB2312"/>
                <w:kern w:val="0"/>
                <w:sz w:val="21"/>
                <w:szCs w:val="21"/>
              </w:rPr>
              <w:t>规模以上工业企业数</w:t>
            </w:r>
          </w:p>
        </w:tc>
        <w:tc>
          <w:tcPr>
            <w:tcW w:w="513" w:type="pct"/>
            <w:tcBorders>
              <w:top w:val="single" w:color="auto" w:sz="6" w:space="0"/>
              <w:left w:val="single" w:color="auto" w:sz="6" w:space="0"/>
              <w:bottom w:val="single" w:color="auto" w:sz="6" w:space="0"/>
              <w:right w:val="single" w:color="auto" w:sz="6" w:space="0"/>
            </w:tcBorders>
            <w:vAlign w:val="center"/>
          </w:tcPr>
          <w:p w14:paraId="27C726DA">
            <w:pPr>
              <w:spacing w:line="260" w:lineRule="exact"/>
              <w:ind w:firstLine="0" w:firstLineChars="0"/>
              <w:jc w:val="center"/>
              <w:rPr>
                <w:rFonts w:cs="仿宋_GB2312"/>
                <w:kern w:val="0"/>
                <w:sz w:val="21"/>
                <w:szCs w:val="21"/>
              </w:rPr>
            </w:pPr>
            <w:r>
              <w:rPr>
                <w:rFonts w:cs="仿宋_GB2312"/>
                <w:kern w:val="0"/>
                <w:sz w:val="21"/>
                <w:szCs w:val="21"/>
              </w:rPr>
              <w:t>个</w:t>
            </w:r>
          </w:p>
        </w:tc>
        <w:tc>
          <w:tcPr>
            <w:tcW w:w="598" w:type="pct"/>
            <w:tcBorders>
              <w:top w:val="single" w:color="auto" w:sz="6" w:space="0"/>
              <w:left w:val="single" w:color="auto" w:sz="6" w:space="0"/>
              <w:bottom w:val="single" w:color="auto" w:sz="6" w:space="0"/>
              <w:right w:val="single" w:color="auto" w:sz="6" w:space="0"/>
            </w:tcBorders>
            <w:vAlign w:val="center"/>
          </w:tcPr>
          <w:p w14:paraId="05A19A38">
            <w:pPr>
              <w:spacing w:line="260" w:lineRule="exact"/>
              <w:ind w:firstLine="0" w:firstLineChars="0"/>
              <w:jc w:val="center"/>
              <w:rPr>
                <w:rFonts w:cs="仿宋_GB2312"/>
                <w:kern w:val="0"/>
                <w:sz w:val="21"/>
                <w:szCs w:val="21"/>
              </w:rPr>
            </w:pPr>
            <w:r>
              <w:rPr>
                <w:rFonts w:cs="仿宋_GB2312"/>
                <w:kern w:val="0"/>
                <w:sz w:val="21"/>
                <w:szCs w:val="21"/>
              </w:rPr>
              <w:t>100</w:t>
            </w:r>
          </w:p>
        </w:tc>
        <w:tc>
          <w:tcPr>
            <w:tcW w:w="941" w:type="pct"/>
            <w:tcBorders>
              <w:top w:val="single" w:color="auto" w:sz="6" w:space="0"/>
              <w:left w:val="single" w:color="auto" w:sz="6" w:space="0"/>
              <w:bottom w:val="single" w:color="auto" w:sz="6" w:space="0"/>
              <w:right w:val="single" w:color="auto" w:sz="6" w:space="0"/>
            </w:tcBorders>
            <w:vAlign w:val="center"/>
          </w:tcPr>
          <w:p w14:paraId="7C13D6FB">
            <w:pPr>
              <w:spacing w:line="260" w:lineRule="exact"/>
              <w:ind w:firstLine="0" w:firstLineChars="0"/>
              <w:jc w:val="center"/>
              <w:rPr>
                <w:rFonts w:cs="仿宋_GB2312"/>
                <w:kern w:val="0"/>
                <w:sz w:val="21"/>
                <w:szCs w:val="21"/>
              </w:rPr>
            </w:pPr>
            <w:r>
              <w:rPr>
                <w:rFonts w:cs="仿宋_GB2312"/>
                <w:kern w:val="0"/>
                <w:sz w:val="21"/>
                <w:szCs w:val="21"/>
              </w:rPr>
              <w:t>52</w:t>
            </w:r>
          </w:p>
        </w:tc>
        <w:tc>
          <w:tcPr>
            <w:tcW w:w="644" w:type="pct"/>
            <w:tcBorders>
              <w:top w:val="single" w:color="auto" w:sz="6" w:space="0"/>
              <w:left w:val="single" w:color="auto" w:sz="6" w:space="0"/>
              <w:bottom w:val="single" w:color="auto" w:sz="6" w:space="0"/>
              <w:right w:val="single" w:color="auto" w:sz="6" w:space="0"/>
            </w:tcBorders>
            <w:vAlign w:val="center"/>
          </w:tcPr>
          <w:p w14:paraId="54731E4A">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1991B6E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4" w:hRule="atLeast"/>
          <w:jc w:val="center"/>
        </w:trPr>
        <w:tc>
          <w:tcPr>
            <w:tcW w:w="414" w:type="pct"/>
            <w:vMerge w:val="continue"/>
            <w:tcBorders>
              <w:left w:val="single" w:color="auto" w:sz="6" w:space="0"/>
              <w:right w:val="single" w:color="auto" w:sz="6" w:space="0"/>
            </w:tcBorders>
            <w:vAlign w:val="center"/>
          </w:tcPr>
          <w:p w14:paraId="78C12FFF">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7F67D330">
            <w:pPr>
              <w:spacing w:line="260" w:lineRule="exact"/>
              <w:ind w:firstLine="0" w:firstLineChars="0"/>
              <w:jc w:val="center"/>
              <w:rPr>
                <w:rFonts w:cs="仿宋_GB2312"/>
                <w:kern w:val="0"/>
                <w:sz w:val="21"/>
                <w:szCs w:val="21"/>
              </w:rPr>
            </w:pPr>
            <w:r>
              <w:rPr>
                <w:rFonts w:cs="仿宋_GB2312"/>
                <w:kern w:val="0"/>
                <w:sz w:val="21"/>
                <w:szCs w:val="21"/>
              </w:rPr>
              <w:t>14</w:t>
            </w:r>
          </w:p>
        </w:tc>
        <w:tc>
          <w:tcPr>
            <w:tcW w:w="1476" w:type="pct"/>
            <w:tcBorders>
              <w:top w:val="single" w:color="auto" w:sz="6" w:space="0"/>
              <w:left w:val="single" w:color="auto" w:sz="6" w:space="0"/>
              <w:bottom w:val="single" w:color="auto" w:sz="6" w:space="0"/>
              <w:right w:val="single" w:color="auto" w:sz="6" w:space="0"/>
            </w:tcBorders>
            <w:vAlign w:val="center"/>
          </w:tcPr>
          <w:p w14:paraId="17E6F737">
            <w:pPr>
              <w:spacing w:line="260" w:lineRule="exact"/>
              <w:ind w:firstLine="0" w:firstLineChars="0"/>
              <w:jc w:val="center"/>
              <w:rPr>
                <w:rFonts w:cs="仿宋_GB2312"/>
                <w:kern w:val="0"/>
                <w:sz w:val="21"/>
                <w:szCs w:val="21"/>
              </w:rPr>
            </w:pPr>
            <w:r>
              <w:rPr>
                <w:rFonts w:cs="仿宋_GB2312"/>
                <w:kern w:val="0"/>
                <w:sz w:val="21"/>
                <w:szCs w:val="21"/>
              </w:rPr>
              <w:t>高新技术企业占比</w:t>
            </w:r>
          </w:p>
        </w:tc>
        <w:tc>
          <w:tcPr>
            <w:tcW w:w="513" w:type="pct"/>
            <w:tcBorders>
              <w:top w:val="single" w:color="auto" w:sz="6" w:space="0"/>
              <w:left w:val="single" w:color="auto" w:sz="6" w:space="0"/>
              <w:bottom w:val="single" w:color="auto" w:sz="6" w:space="0"/>
              <w:right w:val="single" w:color="auto" w:sz="6" w:space="0"/>
            </w:tcBorders>
            <w:vAlign w:val="center"/>
          </w:tcPr>
          <w:p w14:paraId="6667F816">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0310C5D0">
            <w:pPr>
              <w:spacing w:line="260" w:lineRule="exact"/>
              <w:ind w:firstLine="0" w:firstLineChars="0"/>
              <w:jc w:val="center"/>
              <w:rPr>
                <w:rFonts w:cs="仿宋_GB2312"/>
                <w:kern w:val="0"/>
                <w:sz w:val="21"/>
                <w:szCs w:val="21"/>
              </w:rPr>
            </w:pPr>
            <w:r>
              <w:rPr>
                <w:rFonts w:cs="仿宋_GB2312"/>
                <w:kern w:val="0"/>
                <w:sz w:val="21"/>
                <w:szCs w:val="21"/>
              </w:rPr>
              <w:t>20</w:t>
            </w:r>
          </w:p>
        </w:tc>
        <w:tc>
          <w:tcPr>
            <w:tcW w:w="941" w:type="pct"/>
            <w:tcBorders>
              <w:top w:val="single" w:color="auto" w:sz="6" w:space="0"/>
              <w:left w:val="single" w:color="auto" w:sz="6" w:space="0"/>
              <w:bottom w:val="single" w:color="auto" w:sz="6" w:space="0"/>
              <w:right w:val="single" w:color="auto" w:sz="6" w:space="0"/>
            </w:tcBorders>
            <w:vAlign w:val="center"/>
          </w:tcPr>
          <w:p w14:paraId="3862CB64">
            <w:pPr>
              <w:spacing w:line="260" w:lineRule="exact"/>
              <w:ind w:firstLine="0" w:firstLineChars="0"/>
              <w:jc w:val="center"/>
              <w:rPr>
                <w:rFonts w:cs="仿宋_GB2312"/>
                <w:kern w:val="0"/>
                <w:sz w:val="21"/>
                <w:szCs w:val="21"/>
              </w:rPr>
            </w:pPr>
            <w:r>
              <w:rPr>
                <w:rFonts w:cs="仿宋_GB2312"/>
                <w:kern w:val="0"/>
                <w:sz w:val="21"/>
                <w:szCs w:val="21"/>
              </w:rPr>
              <w:t>23.1</w:t>
            </w:r>
          </w:p>
        </w:tc>
        <w:tc>
          <w:tcPr>
            <w:tcW w:w="644" w:type="pct"/>
            <w:tcBorders>
              <w:top w:val="single" w:color="auto" w:sz="6" w:space="0"/>
              <w:left w:val="single" w:color="auto" w:sz="6" w:space="0"/>
              <w:bottom w:val="single" w:color="auto" w:sz="6" w:space="0"/>
              <w:right w:val="single" w:color="auto" w:sz="6" w:space="0"/>
            </w:tcBorders>
            <w:vAlign w:val="center"/>
          </w:tcPr>
          <w:p w14:paraId="497A949D">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7D2450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2519C406">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47EAC5FE">
            <w:pPr>
              <w:spacing w:line="260" w:lineRule="exact"/>
              <w:ind w:firstLine="0" w:firstLineChars="0"/>
              <w:jc w:val="center"/>
              <w:rPr>
                <w:rFonts w:cs="仿宋_GB2312"/>
                <w:kern w:val="0"/>
                <w:sz w:val="21"/>
                <w:szCs w:val="21"/>
              </w:rPr>
            </w:pPr>
            <w:r>
              <w:rPr>
                <w:rFonts w:cs="仿宋_GB2312"/>
                <w:kern w:val="0"/>
                <w:sz w:val="21"/>
                <w:szCs w:val="21"/>
              </w:rPr>
              <w:t>15</w:t>
            </w:r>
          </w:p>
        </w:tc>
        <w:tc>
          <w:tcPr>
            <w:tcW w:w="1476" w:type="pct"/>
            <w:tcBorders>
              <w:top w:val="single" w:color="auto" w:sz="6" w:space="0"/>
              <w:left w:val="single" w:color="auto" w:sz="6" w:space="0"/>
              <w:bottom w:val="single" w:color="auto" w:sz="6" w:space="0"/>
              <w:right w:val="single" w:color="auto" w:sz="6" w:space="0"/>
            </w:tcBorders>
            <w:vAlign w:val="center"/>
          </w:tcPr>
          <w:p w14:paraId="6A8FB132">
            <w:pPr>
              <w:spacing w:line="260" w:lineRule="exact"/>
              <w:ind w:firstLine="0" w:firstLineChars="0"/>
              <w:jc w:val="center"/>
              <w:rPr>
                <w:rFonts w:cs="仿宋_GB2312"/>
                <w:kern w:val="0"/>
                <w:sz w:val="21"/>
                <w:szCs w:val="21"/>
              </w:rPr>
            </w:pPr>
            <w:r>
              <w:rPr>
                <w:rFonts w:cs="仿宋_GB2312"/>
                <w:kern w:val="0"/>
                <w:sz w:val="21"/>
                <w:szCs w:val="21"/>
              </w:rPr>
              <w:t>研究与试验发展（R&amp;D）经费支出占GDP比例</w:t>
            </w:r>
          </w:p>
        </w:tc>
        <w:tc>
          <w:tcPr>
            <w:tcW w:w="513" w:type="pct"/>
            <w:tcBorders>
              <w:top w:val="single" w:color="auto" w:sz="6" w:space="0"/>
              <w:left w:val="single" w:color="auto" w:sz="6" w:space="0"/>
              <w:bottom w:val="single" w:color="auto" w:sz="6" w:space="0"/>
              <w:right w:val="single" w:color="auto" w:sz="6" w:space="0"/>
            </w:tcBorders>
            <w:vAlign w:val="center"/>
          </w:tcPr>
          <w:p w14:paraId="47A5D485">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307861F9">
            <w:pPr>
              <w:spacing w:line="260" w:lineRule="exact"/>
              <w:ind w:firstLine="0" w:firstLineChars="0"/>
              <w:jc w:val="center"/>
              <w:rPr>
                <w:rFonts w:cs="仿宋_GB2312"/>
                <w:kern w:val="0"/>
                <w:sz w:val="21"/>
                <w:szCs w:val="21"/>
              </w:rPr>
            </w:pPr>
            <w:r>
              <w:rPr>
                <w:rFonts w:cs="仿宋_GB2312"/>
                <w:kern w:val="0"/>
                <w:sz w:val="21"/>
                <w:szCs w:val="21"/>
              </w:rPr>
              <w:t>0.5</w:t>
            </w:r>
          </w:p>
        </w:tc>
        <w:tc>
          <w:tcPr>
            <w:tcW w:w="941" w:type="pct"/>
            <w:tcBorders>
              <w:top w:val="single" w:color="auto" w:sz="6" w:space="0"/>
              <w:left w:val="single" w:color="auto" w:sz="6" w:space="0"/>
              <w:bottom w:val="single" w:color="auto" w:sz="6" w:space="0"/>
              <w:right w:val="single" w:color="auto" w:sz="6" w:space="0"/>
            </w:tcBorders>
            <w:vAlign w:val="center"/>
          </w:tcPr>
          <w:p w14:paraId="6CD5EE2A">
            <w:pPr>
              <w:spacing w:line="260" w:lineRule="exact"/>
              <w:ind w:firstLine="0" w:firstLineChars="0"/>
              <w:jc w:val="center"/>
              <w:rPr>
                <w:rFonts w:cs="仿宋_GB2312"/>
                <w:kern w:val="0"/>
                <w:sz w:val="21"/>
                <w:szCs w:val="21"/>
              </w:rPr>
            </w:pPr>
            <w:r>
              <w:rPr>
                <w:rFonts w:cs="仿宋_GB2312"/>
                <w:kern w:val="0"/>
                <w:sz w:val="21"/>
                <w:szCs w:val="21"/>
              </w:rPr>
              <w:t>0.3</w:t>
            </w:r>
          </w:p>
        </w:tc>
        <w:tc>
          <w:tcPr>
            <w:tcW w:w="644" w:type="pct"/>
            <w:tcBorders>
              <w:top w:val="single" w:color="auto" w:sz="6" w:space="0"/>
              <w:left w:val="single" w:color="auto" w:sz="6" w:space="0"/>
              <w:bottom w:val="single" w:color="auto" w:sz="6" w:space="0"/>
              <w:right w:val="single" w:color="auto" w:sz="6" w:space="0"/>
            </w:tcBorders>
            <w:vAlign w:val="center"/>
          </w:tcPr>
          <w:p w14:paraId="5235BA96">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2A087D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584CD49F">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0B3A36C0">
            <w:pPr>
              <w:spacing w:line="260" w:lineRule="exact"/>
              <w:ind w:firstLine="0" w:firstLineChars="0"/>
              <w:jc w:val="center"/>
              <w:rPr>
                <w:rFonts w:cs="仿宋_GB2312"/>
                <w:kern w:val="0"/>
                <w:sz w:val="21"/>
                <w:szCs w:val="21"/>
              </w:rPr>
            </w:pPr>
            <w:r>
              <w:rPr>
                <w:rFonts w:cs="仿宋_GB2312"/>
                <w:kern w:val="0"/>
                <w:sz w:val="21"/>
                <w:szCs w:val="21"/>
              </w:rPr>
              <w:t>16</w:t>
            </w:r>
          </w:p>
        </w:tc>
        <w:tc>
          <w:tcPr>
            <w:tcW w:w="1476" w:type="pct"/>
            <w:tcBorders>
              <w:top w:val="single" w:color="auto" w:sz="6" w:space="0"/>
              <w:left w:val="single" w:color="auto" w:sz="6" w:space="0"/>
              <w:bottom w:val="single" w:color="auto" w:sz="6" w:space="0"/>
              <w:right w:val="single" w:color="auto" w:sz="6" w:space="0"/>
            </w:tcBorders>
            <w:vAlign w:val="center"/>
          </w:tcPr>
          <w:p w14:paraId="5D9D71C0">
            <w:pPr>
              <w:spacing w:line="260" w:lineRule="exact"/>
              <w:ind w:firstLine="0" w:firstLineChars="0"/>
              <w:jc w:val="center"/>
              <w:rPr>
                <w:rFonts w:cs="仿宋_GB2312"/>
                <w:kern w:val="0"/>
                <w:sz w:val="21"/>
                <w:szCs w:val="21"/>
              </w:rPr>
            </w:pPr>
            <w:r>
              <w:rPr>
                <w:rFonts w:cs="仿宋_GB2312"/>
                <w:kern w:val="0"/>
                <w:sz w:val="21"/>
                <w:szCs w:val="21"/>
              </w:rPr>
              <w:t>开发区规模以上</w:t>
            </w:r>
          </w:p>
          <w:p w14:paraId="2725ACC9">
            <w:pPr>
              <w:spacing w:line="260" w:lineRule="exact"/>
              <w:ind w:firstLine="0" w:firstLineChars="0"/>
              <w:jc w:val="center"/>
              <w:rPr>
                <w:rFonts w:cs="仿宋_GB2312"/>
                <w:kern w:val="0"/>
                <w:sz w:val="21"/>
                <w:szCs w:val="21"/>
              </w:rPr>
            </w:pPr>
            <w:r>
              <w:rPr>
                <w:rFonts w:cs="仿宋_GB2312"/>
                <w:kern w:val="0"/>
                <w:sz w:val="21"/>
                <w:szCs w:val="21"/>
              </w:rPr>
              <w:t>工业产值</w:t>
            </w:r>
          </w:p>
        </w:tc>
        <w:tc>
          <w:tcPr>
            <w:tcW w:w="513" w:type="pct"/>
            <w:tcBorders>
              <w:top w:val="single" w:color="auto" w:sz="6" w:space="0"/>
              <w:left w:val="single" w:color="auto" w:sz="6" w:space="0"/>
              <w:bottom w:val="single" w:color="auto" w:sz="6" w:space="0"/>
              <w:right w:val="single" w:color="auto" w:sz="6" w:space="0"/>
            </w:tcBorders>
            <w:vAlign w:val="center"/>
          </w:tcPr>
          <w:p w14:paraId="4D6DE6E1">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452A275A">
            <w:pPr>
              <w:spacing w:line="260" w:lineRule="exact"/>
              <w:ind w:firstLine="0" w:firstLineChars="0"/>
              <w:jc w:val="center"/>
              <w:rPr>
                <w:rFonts w:cs="仿宋_GB2312"/>
                <w:kern w:val="0"/>
                <w:sz w:val="21"/>
                <w:szCs w:val="21"/>
              </w:rPr>
            </w:pPr>
            <w:r>
              <w:rPr>
                <w:rFonts w:cs="仿宋_GB2312"/>
                <w:kern w:val="0"/>
                <w:sz w:val="21"/>
                <w:szCs w:val="21"/>
              </w:rPr>
              <w:t>94.6</w:t>
            </w:r>
          </w:p>
        </w:tc>
        <w:tc>
          <w:tcPr>
            <w:tcW w:w="941" w:type="pct"/>
            <w:tcBorders>
              <w:top w:val="single" w:color="auto" w:sz="6" w:space="0"/>
              <w:left w:val="single" w:color="auto" w:sz="6" w:space="0"/>
              <w:bottom w:val="single" w:color="auto" w:sz="6" w:space="0"/>
              <w:right w:val="single" w:color="auto" w:sz="6" w:space="0"/>
            </w:tcBorders>
            <w:vAlign w:val="center"/>
          </w:tcPr>
          <w:p w14:paraId="7F1746B8">
            <w:pPr>
              <w:spacing w:line="260" w:lineRule="exact"/>
              <w:ind w:firstLine="0" w:firstLineChars="0"/>
              <w:jc w:val="center"/>
              <w:rPr>
                <w:rFonts w:cs="仿宋_GB2312"/>
                <w:kern w:val="0"/>
                <w:sz w:val="21"/>
                <w:szCs w:val="21"/>
              </w:rPr>
            </w:pPr>
            <w:r>
              <w:rPr>
                <w:rFonts w:cs="仿宋_GB2312"/>
                <w:kern w:val="0"/>
                <w:sz w:val="21"/>
                <w:szCs w:val="21"/>
              </w:rPr>
              <w:t>35.19</w:t>
            </w:r>
          </w:p>
        </w:tc>
        <w:tc>
          <w:tcPr>
            <w:tcW w:w="644" w:type="pct"/>
            <w:tcBorders>
              <w:top w:val="single" w:color="auto" w:sz="6" w:space="0"/>
              <w:left w:val="single" w:color="auto" w:sz="6" w:space="0"/>
              <w:bottom w:val="single" w:color="auto" w:sz="6" w:space="0"/>
              <w:right w:val="single" w:color="auto" w:sz="6" w:space="0"/>
            </w:tcBorders>
            <w:vAlign w:val="center"/>
          </w:tcPr>
          <w:p w14:paraId="557F1E87">
            <w:pPr>
              <w:spacing w:line="260" w:lineRule="exact"/>
              <w:ind w:firstLine="0" w:firstLineChars="0"/>
              <w:jc w:val="center"/>
              <w:rPr>
                <w:rFonts w:cs="仿宋_GB2312"/>
                <w:kern w:val="0"/>
                <w:sz w:val="21"/>
                <w:szCs w:val="21"/>
              </w:rPr>
            </w:pPr>
            <w:r>
              <w:rPr>
                <w:rFonts w:cs="仿宋_GB2312"/>
                <w:kern w:val="0"/>
                <w:sz w:val="21"/>
                <w:szCs w:val="21"/>
              </w:rPr>
              <w:t>-1</w:t>
            </w:r>
          </w:p>
        </w:tc>
      </w:tr>
      <w:tr w14:paraId="1D2688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21B1189D">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2A4CAB2F">
            <w:pPr>
              <w:spacing w:line="260" w:lineRule="exact"/>
              <w:ind w:firstLine="0" w:firstLineChars="0"/>
              <w:jc w:val="center"/>
              <w:rPr>
                <w:rFonts w:cs="仿宋_GB2312"/>
                <w:kern w:val="0"/>
                <w:sz w:val="21"/>
                <w:szCs w:val="21"/>
              </w:rPr>
            </w:pPr>
            <w:r>
              <w:rPr>
                <w:rFonts w:cs="仿宋_GB2312"/>
                <w:kern w:val="0"/>
                <w:sz w:val="21"/>
                <w:szCs w:val="21"/>
              </w:rPr>
              <w:t>17</w:t>
            </w:r>
          </w:p>
        </w:tc>
        <w:tc>
          <w:tcPr>
            <w:tcW w:w="1476" w:type="pct"/>
            <w:tcBorders>
              <w:top w:val="single" w:color="auto" w:sz="6" w:space="0"/>
              <w:left w:val="single" w:color="auto" w:sz="6" w:space="0"/>
              <w:bottom w:val="single" w:color="auto" w:sz="6" w:space="0"/>
              <w:right w:val="single" w:color="auto" w:sz="6" w:space="0"/>
            </w:tcBorders>
            <w:vAlign w:val="center"/>
          </w:tcPr>
          <w:p w14:paraId="3CF5EC2B">
            <w:pPr>
              <w:spacing w:line="260" w:lineRule="exact"/>
              <w:ind w:firstLine="0" w:firstLineChars="0"/>
              <w:jc w:val="center"/>
              <w:rPr>
                <w:rFonts w:cs="仿宋_GB2312"/>
                <w:kern w:val="0"/>
                <w:sz w:val="21"/>
                <w:szCs w:val="21"/>
              </w:rPr>
            </w:pPr>
            <w:r>
              <w:rPr>
                <w:rFonts w:cs="仿宋_GB2312"/>
                <w:kern w:val="0"/>
                <w:sz w:val="21"/>
                <w:szCs w:val="21"/>
              </w:rPr>
              <w:t>开发区固定资产投资</w:t>
            </w:r>
          </w:p>
        </w:tc>
        <w:tc>
          <w:tcPr>
            <w:tcW w:w="513" w:type="pct"/>
            <w:tcBorders>
              <w:top w:val="single" w:color="auto" w:sz="6" w:space="0"/>
              <w:left w:val="single" w:color="auto" w:sz="6" w:space="0"/>
              <w:bottom w:val="single" w:color="auto" w:sz="6" w:space="0"/>
              <w:right w:val="single" w:color="auto" w:sz="6" w:space="0"/>
            </w:tcBorders>
            <w:vAlign w:val="center"/>
          </w:tcPr>
          <w:p w14:paraId="51A5B4B2">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7F09AF29">
            <w:pPr>
              <w:spacing w:line="260" w:lineRule="exact"/>
              <w:ind w:firstLine="0" w:firstLineChars="0"/>
              <w:jc w:val="center"/>
              <w:rPr>
                <w:rFonts w:cs="仿宋_GB2312"/>
                <w:kern w:val="0"/>
                <w:sz w:val="21"/>
                <w:szCs w:val="21"/>
              </w:rPr>
            </w:pPr>
            <w:r>
              <w:rPr>
                <w:rFonts w:cs="仿宋_GB2312"/>
                <w:kern w:val="0"/>
                <w:sz w:val="21"/>
                <w:szCs w:val="21"/>
              </w:rPr>
              <w:t>23.6</w:t>
            </w:r>
          </w:p>
        </w:tc>
        <w:tc>
          <w:tcPr>
            <w:tcW w:w="941" w:type="pct"/>
            <w:tcBorders>
              <w:top w:val="single" w:color="auto" w:sz="6" w:space="0"/>
              <w:left w:val="single" w:color="auto" w:sz="6" w:space="0"/>
              <w:bottom w:val="single" w:color="auto" w:sz="6" w:space="0"/>
              <w:right w:val="single" w:color="auto" w:sz="6" w:space="0"/>
            </w:tcBorders>
            <w:vAlign w:val="center"/>
          </w:tcPr>
          <w:p w14:paraId="2044BA63">
            <w:pPr>
              <w:spacing w:line="260" w:lineRule="exact"/>
              <w:ind w:firstLine="0" w:firstLineChars="0"/>
              <w:jc w:val="center"/>
              <w:rPr>
                <w:rFonts w:cs="仿宋_GB2312"/>
                <w:kern w:val="0"/>
                <w:sz w:val="21"/>
                <w:szCs w:val="21"/>
              </w:rPr>
            </w:pPr>
            <w:r>
              <w:rPr>
                <w:rFonts w:cs="仿宋_GB2312"/>
                <w:kern w:val="0"/>
                <w:sz w:val="21"/>
                <w:szCs w:val="21"/>
              </w:rPr>
              <w:t>9.76</w:t>
            </w:r>
          </w:p>
        </w:tc>
        <w:tc>
          <w:tcPr>
            <w:tcW w:w="644" w:type="pct"/>
            <w:tcBorders>
              <w:top w:val="single" w:color="auto" w:sz="6" w:space="0"/>
              <w:left w:val="single" w:color="auto" w:sz="6" w:space="0"/>
              <w:bottom w:val="single" w:color="auto" w:sz="6" w:space="0"/>
              <w:right w:val="single" w:color="auto" w:sz="6" w:space="0"/>
            </w:tcBorders>
            <w:vAlign w:val="center"/>
          </w:tcPr>
          <w:p w14:paraId="21365729">
            <w:pPr>
              <w:spacing w:line="260" w:lineRule="exact"/>
              <w:ind w:firstLine="0" w:firstLineChars="0"/>
              <w:jc w:val="center"/>
              <w:rPr>
                <w:rFonts w:cs="仿宋_GB2312"/>
                <w:kern w:val="0"/>
                <w:sz w:val="21"/>
                <w:szCs w:val="21"/>
              </w:rPr>
            </w:pPr>
            <w:r>
              <w:rPr>
                <w:rFonts w:cs="仿宋_GB2312"/>
                <w:kern w:val="0"/>
                <w:sz w:val="21"/>
                <w:szCs w:val="21"/>
              </w:rPr>
              <w:t>0.6</w:t>
            </w:r>
          </w:p>
        </w:tc>
      </w:tr>
      <w:tr w14:paraId="42F41C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bottom w:val="single" w:color="auto" w:sz="6" w:space="0"/>
              <w:right w:val="single" w:color="auto" w:sz="6" w:space="0"/>
            </w:tcBorders>
            <w:vAlign w:val="center"/>
          </w:tcPr>
          <w:p w14:paraId="50F4A6D3">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68300AAC">
            <w:pPr>
              <w:spacing w:line="260" w:lineRule="exact"/>
              <w:ind w:firstLine="0" w:firstLineChars="0"/>
              <w:jc w:val="center"/>
              <w:rPr>
                <w:rFonts w:cs="仿宋_GB2312"/>
                <w:kern w:val="0"/>
                <w:sz w:val="21"/>
                <w:szCs w:val="21"/>
              </w:rPr>
            </w:pPr>
            <w:r>
              <w:rPr>
                <w:rFonts w:cs="仿宋_GB2312"/>
                <w:kern w:val="0"/>
                <w:sz w:val="21"/>
                <w:szCs w:val="21"/>
              </w:rPr>
              <w:t>18</w:t>
            </w:r>
          </w:p>
        </w:tc>
        <w:tc>
          <w:tcPr>
            <w:tcW w:w="1476" w:type="pct"/>
            <w:tcBorders>
              <w:top w:val="single" w:color="auto" w:sz="6" w:space="0"/>
              <w:left w:val="single" w:color="auto" w:sz="6" w:space="0"/>
              <w:bottom w:val="single" w:color="auto" w:sz="6" w:space="0"/>
              <w:right w:val="single" w:color="auto" w:sz="6" w:space="0"/>
            </w:tcBorders>
            <w:vAlign w:val="center"/>
          </w:tcPr>
          <w:p w14:paraId="769FAFE1">
            <w:pPr>
              <w:spacing w:line="260" w:lineRule="exact"/>
              <w:ind w:firstLine="0" w:firstLineChars="0"/>
              <w:jc w:val="center"/>
              <w:rPr>
                <w:rFonts w:cs="仿宋_GB2312"/>
                <w:kern w:val="0"/>
                <w:sz w:val="21"/>
                <w:szCs w:val="21"/>
              </w:rPr>
            </w:pPr>
            <w:r>
              <w:rPr>
                <w:rFonts w:cs="仿宋_GB2312"/>
                <w:kern w:val="0"/>
                <w:sz w:val="21"/>
                <w:szCs w:val="21"/>
              </w:rPr>
              <w:t>开发区税收收入</w:t>
            </w:r>
          </w:p>
        </w:tc>
        <w:tc>
          <w:tcPr>
            <w:tcW w:w="513" w:type="pct"/>
            <w:tcBorders>
              <w:top w:val="single" w:color="auto" w:sz="6" w:space="0"/>
              <w:left w:val="single" w:color="auto" w:sz="6" w:space="0"/>
              <w:bottom w:val="single" w:color="auto" w:sz="6" w:space="0"/>
              <w:right w:val="single" w:color="auto" w:sz="6" w:space="0"/>
            </w:tcBorders>
            <w:vAlign w:val="center"/>
          </w:tcPr>
          <w:p w14:paraId="4E2EB30E">
            <w:pPr>
              <w:spacing w:line="260" w:lineRule="exact"/>
              <w:ind w:firstLine="0" w:firstLineChars="0"/>
              <w:jc w:val="center"/>
              <w:rPr>
                <w:rFonts w:cs="仿宋_GB2312"/>
                <w:kern w:val="0"/>
                <w:sz w:val="21"/>
                <w:szCs w:val="21"/>
              </w:rPr>
            </w:pPr>
            <w:r>
              <w:rPr>
                <w:rFonts w:cs="仿宋_GB2312"/>
                <w:kern w:val="0"/>
                <w:sz w:val="21"/>
                <w:szCs w:val="21"/>
              </w:rPr>
              <w:t>亿元</w:t>
            </w:r>
          </w:p>
        </w:tc>
        <w:tc>
          <w:tcPr>
            <w:tcW w:w="598" w:type="pct"/>
            <w:tcBorders>
              <w:top w:val="single" w:color="auto" w:sz="6" w:space="0"/>
              <w:left w:val="single" w:color="auto" w:sz="6" w:space="0"/>
              <w:bottom w:val="single" w:color="auto" w:sz="6" w:space="0"/>
              <w:right w:val="single" w:color="auto" w:sz="6" w:space="0"/>
            </w:tcBorders>
            <w:vAlign w:val="center"/>
          </w:tcPr>
          <w:p w14:paraId="20F2BDCB">
            <w:pPr>
              <w:spacing w:line="260" w:lineRule="exact"/>
              <w:ind w:firstLine="0" w:firstLineChars="0"/>
              <w:jc w:val="center"/>
              <w:rPr>
                <w:rFonts w:cs="仿宋_GB2312"/>
                <w:kern w:val="0"/>
                <w:sz w:val="21"/>
                <w:szCs w:val="21"/>
              </w:rPr>
            </w:pPr>
            <w:r>
              <w:rPr>
                <w:rFonts w:cs="仿宋_GB2312"/>
                <w:kern w:val="0"/>
                <w:sz w:val="21"/>
                <w:szCs w:val="21"/>
              </w:rPr>
              <w:t>2</w:t>
            </w:r>
          </w:p>
        </w:tc>
        <w:tc>
          <w:tcPr>
            <w:tcW w:w="941" w:type="pct"/>
            <w:tcBorders>
              <w:top w:val="single" w:color="auto" w:sz="6" w:space="0"/>
              <w:left w:val="single" w:color="auto" w:sz="6" w:space="0"/>
              <w:bottom w:val="single" w:color="auto" w:sz="6" w:space="0"/>
              <w:right w:val="single" w:color="auto" w:sz="6" w:space="0"/>
            </w:tcBorders>
            <w:vAlign w:val="center"/>
          </w:tcPr>
          <w:p w14:paraId="6F341853">
            <w:pPr>
              <w:spacing w:line="260" w:lineRule="exact"/>
              <w:ind w:firstLine="0" w:firstLineChars="0"/>
              <w:jc w:val="center"/>
              <w:rPr>
                <w:rFonts w:cs="仿宋_GB2312"/>
                <w:kern w:val="0"/>
                <w:sz w:val="21"/>
                <w:szCs w:val="21"/>
              </w:rPr>
            </w:pPr>
            <w:r>
              <w:rPr>
                <w:rFonts w:cs="仿宋_GB2312"/>
                <w:kern w:val="0"/>
                <w:sz w:val="21"/>
                <w:szCs w:val="21"/>
              </w:rPr>
              <w:t>2.32</w:t>
            </w:r>
          </w:p>
        </w:tc>
        <w:tc>
          <w:tcPr>
            <w:tcW w:w="644" w:type="pct"/>
            <w:tcBorders>
              <w:top w:val="single" w:color="auto" w:sz="6" w:space="0"/>
              <w:left w:val="single" w:color="auto" w:sz="6" w:space="0"/>
              <w:bottom w:val="single" w:color="auto" w:sz="6" w:space="0"/>
              <w:right w:val="single" w:color="auto" w:sz="6" w:space="0"/>
            </w:tcBorders>
            <w:vAlign w:val="center"/>
          </w:tcPr>
          <w:p w14:paraId="32987445">
            <w:pPr>
              <w:spacing w:line="260" w:lineRule="exact"/>
              <w:ind w:firstLine="0" w:firstLineChars="0"/>
              <w:jc w:val="center"/>
              <w:rPr>
                <w:rFonts w:cs="仿宋_GB2312"/>
                <w:kern w:val="0"/>
                <w:sz w:val="21"/>
                <w:szCs w:val="21"/>
              </w:rPr>
            </w:pPr>
            <w:r>
              <w:rPr>
                <w:rFonts w:cs="仿宋_GB2312"/>
                <w:kern w:val="0"/>
                <w:sz w:val="21"/>
                <w:szCs w:val="21"/>
              </w:rPr>
              <w:t>18.3</w:t>
            </w:r>
          </w:p>
        </w:tc>
      </w:tr>
      <w:tr w14:paraId="196D6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restart"/>
            <w:tcBorders>
              <w:top w:val="single" w:color="auto" w:sz="6" w:space="0"/>
              <w:left w:val="single" w:color="auto" w:sz="6" w:space="0"/>
              <w:right w:val="single" w:color="auto" w:sz="6" w:space="0"/>
            </w:tcBorders>
            <w:vAlign w:val="center"/>
          </w:tcPr>
          <w:p w14:paraId="7D2EB6C0">
            <w:pPr>
              <w:widowControl/>
              <w:spacing w:line="260" w:lineRule="exact"/>
              <w:ind w:firstLine="0" w:firstLineChars="0"/>
              <w:jc w:val="left"/>
              <w:rPr>
                <w:rFonts w:cs="仿宋_GB2312"/>
                <w:kern w:val="0"/>
                <w:sz w:val="21"/>
                <w:szCs w:val="21"/>
              </w:rPr>
            </w:pPr>
            <w:r>
              <w:rPr>
                <w:rFonts w:cs="仿宋_GB2312"/>
                <w:kern w:val="0"/>
                <w:sz w:val="21"/>
                <w:szCs w:val="21"/>
              </w:rPr>
              <w:t>绿色生态</w:t>
            </w:r>
          </w:p>
        </w:tc>
        <w:tc>
          <w:tcPr>
            <w:tcW w:w="414" w:type="pct"/>
            <w:tcBorders>
              <w:top w:val="single" w:color="auto" w:sz="6" w:space="0"/>
              <w:left w:val="single" w:color="auto" w:sz="6" w:space="0"/>
              <w:bottom w:val="single" w:color="auto" w:sz="6" w:space="0"/>
              <w:right w:val="single" w:color="auto" w:sz="6" w:space="0"/>
            </w:tcBorders>
            <w:vAlign w:val="center"/>
          </w:tcPr>
          <w:p w14:paraId="73AB6CF9">
            <w:pPr>
              <w:spacing w:line="260" w:lineRule="exact"/>
              <w:ind w:firstLine="0" w:firstLineChars="0"/>
              <w:jc w:val="center"/>
              <w:rPr>
                <w:rFonts w:cs="仿宋_GB2312"/>
                <w:kern w:val="0"/>
                <w:sz w:val="21"/>
                <w:szCs w:val="21"/>
              </w:rPr>
            </w:pPr>
            <w:r>
              <w:rPr>
                <w:rFonts w:cs="仿宋_GB2312"/>
                <w:kern w:val="0"/>
                <w:sz w:val="21"/>
                <w:szCs w:val="21"/>
              </w:rPr>
              <w:t>19</w:t>
            </w:r>
          </w:p>
        </w:tc>
        <w:tc>
          <w:tcPr>
            <w:tcW w:w="1476" w:type="pct"/>
            <w:tcBorders>
              <w:top w:val="single" w:color="auto" w:sz="6" w:space="0"/>
              <w:left w:val="single" w:color="auto" w:sz="6" w:space="0"/>
              <w:bottom w:val="single" w:color="auto" w:sz="6" w:space="0"/>
              <w:right w:val="single" w:color="auto" w:sz="6" w:space="0"/>
            </w:tcBorders>
            <w:vAlign w:val="center"/>
          </w:tcPr>
          <w:p w14:paraId="529D4794">
            <w:pPr>
              <w:spacing w:line="260" w:lineRule="exact"/>
              <w:ind w:firstLine="0" w:firstLineChars="0"/>
              <w:jc w:val="center"/>
              <w:rPr>
                <w:rFonts w:cs="仿宋_GB2312"/>
                <w:kern w:val="0"/>
                <w:sz w:val="21"/>
                <w:szCs w:val="21"/>
              </w:rPr>
            </w:pPr>
            <w:r>
              <w:rPr>
                <w:rFonts w:cs="仿宋_GB2312"/>
                <w:kern w:val="0"/>
                <w:sz w:val="21"/>
                <w:szCs w:val="21"/>
              </w:rPr>
              <w:t>森林覆盖率</w:t>
            </w:r>
          </w:p>
        </w:tc>
        <w:tc>
          <w:tcPr>
            <w:tcW w:w="513" w:type="pct"/>
            <w:tcBorders>
              <w:top w:val="single" w:color="auto" w:sz="6" w:space="0"/>
              <w:left w:val="single" w:color="auto" w:sz="6" w:space="0"/>
              <w:bottom w:val="single" w:color="auto" w:sz="6" w:space="0"/>
              <w:right w:val="single" w:color="auto" w:sz="6" w:space="0"/>
            </w:tcBorders>
            <w:vAlign w:val="center"/>
          </w:tcPr>
          <w:p w14:paraId="7D85417F">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2CD43ACD">
            <w:pPr>
              <w:spacing w:line="260" w:lineRule="exact"/>
              <w:ind w:firstLine="0" w:firstLineChars="0"/>
              <w:jc w:val="center"/>
              <w:rPr>
                <w:rFonts w:cs="仿宋_GB2312"/>
                <w:kern w:val="0"/>
                <w:sz w:val="21"/>
                <w:szCs w:val="21"/>
              </w:rPr>
            </w:pPr>
            <w:r>
              <w:rPr>
                <w:rFonts w:cs="仿宋_GB2312"/>
                <w:kern w:val="0"/>
                <w:sz w:val="21"/>
                <w:szCs w:val="21"/>
              </w:rPr>
              <w:t>30</w:t>
            </w:r>
          </w:p>
        </w:tc>
        <w:tc>
          <w:tcPr>
            <w:tcW w:w="941" w:type="pct"/>
            <w:tcBorders>
              <w:top w:val="single" w:color="auto" w:sz="6" w:space="0"/>
              <w:left w:val="single" w:color="auto" w:sz="6" w:space="0"/>
              <w:bottom w:val="single" w:color="auto" w:sz="6" w:space="0"/>
              <w:right w:val="single" w:color="auto" w:sz="6" w:space="0"/>
            </w:tcBorders>
            <w:vAlign w:val="center"/>
          </w:tcPr>
          <w:p w14:paraId="30B4836B">
            <w:pPr>
              <w:spacing w:line="260" w:lineRule="exact"/>
              <w:ind w:firstLine="0" w:firstLineChars="0"/>
              <w:jc w:val="center"/>
              <w:rPr>
                <w:rFonts w:cs="仿宋_GB2312"/>
                <w:kern w:val="0"/>
                <w:sz w:val="21"/>
                <w:szCs w:val="21"/>
              </w:rPr>
            </w:pPr>
            <w:r>
              <w:rPr>
                <w:rFonts w:cs="仿宋_GB2312"/>
                <w:kern w:val="0"/>
                <w:sz w:val="21"/>
                <w:szCs w:val="21"/>
              </w:rPr>
              <w:t>—</w:t>
            </w:r>
          </w:p>
        </w:tc>
        <w:tc>
          <w:tcPr>
            <w:tcW w:w="644" w:type="pct"/>
            <w:tcBorders>
              <w:top w:val="single" w:color="auto" w:sz="6" w:space="0"/>
              <w:left w:val="single" w:color="auto" w:sz="6" w:space="0"/>
              <w:bottom w:val="single" w:color="auto" w:sz="6" w:space="0"/>
              <w:right w:val="single" w:color="auto" w:sz="6" w:space="0"/>
            </w:tcBorders>
            <w:vAlign w:val="center"/>
          </w:tcPr>
          <w:p w14:paraId="2B6407C1">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177E81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1F584DB5">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5FFC6AC9">
            <w:pPr>
              <w:spacing w:line="260" w:lineRule="exact"/>
              <w:ind w:firstLine="0" w:firstLineChars="0"/>
              <w:jc w:val="center"/>
              <w:rPr>
                <w:rFonts w:cs="仿宋_GB2312"/>
                <w:kern w:val="0"/>
                <w:sz w:val="21"/>
                <w:szCs w:val="21"/>
              </w:rPr>
            </w:pPr>
            <w:r>
              <w:rPr>
                <w:rFonts w:cs="仿宋_GB2312"/>
                <w:kern w:val="0"/>
                <w:sz w:val="21"/>
                <w:szCs w:val="21"/>
              </w:rPr>
              <w:t>20</w:t>
            </w:r>
          </w:p>
        </w:tc>
        <w:tc>
          <w:tcPr>
            <w:tcW w:w="1476" w:type="pct"/>
            <w:tcBorders>
              <w:top w:val="single" w:color="auto" w:sz="6" w:space="0"/>
              <w:left w:val="single" w:color="auto" w:sz="6" w:space="0"/>
              <w:bottom w:val="single" w:color="auto" w:sz="6" w:space="0"/>
              <w:right w:val="single" w:color="auto" w:sz="6" w:space="0"/>
            </w:tcBorders>
            <w:vAlign w:val="center"/>
          </w:tcPr>
          <w:p w14:paraId="39A6A9D6">
            <w:pPr>
              <w:spacing w:line="260" w:lineRule="exact"/>
              <w:ind w:firstLine="0" w:firstLineChars="0"/>
              <w:jc w:val="center"/>
              <w:rPr>
                <w:rFonts w:cs="仿宋_GB2312"/>
                <w:kern w:val="0"/>
                <w:sz w:val="21"/>
                <w:szCs w:val="21"/>
              </w:rPr>
            </w:pPr>
            <w:r>
              <w:rPr>
                <w:rFonts w:cs="仿宋_GB2312"/>
                <w:kern w:val="0"/>
                <w:sz w:val="21"/>
                <w:szCs w:val="21"/>
              </w:rPr>
              <w:t>万元GDP能耗累计下降</w:t>
            </w:r>
          </w:p>
        </w:tc>
        <w:tc>
          <w:tcPr>
            <w:tcW w:w="513" w:type="pct"/>
            <w:tcBorders>
              <w:top w:val="single" w:color="auto" w:sz="6" w:space="0"/>
              <w:left w:val="single" w:color="auto" w:sz="6" w:space="0"/>
              <w:bottom w:val="single" w:color="auto" w:sz="6" w:space="0"/>
              <w:right w:val="single" w:color="auto" w:sz="6" w:space="0"/>
            </w:tcBorders>
            <w:vAlign w:val="center"/>
          </w:tcPr>
          <w:p w14:paraId="34C2F503">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2F5C693C">
            <w:pPr>
              <w:spacing w:line="260" w:lineRule="exact"/>
              <w:ind w:firstLine="0" w:firstLineChars="0"/>
              <w:jc w:val="center"/>
              <w:rPr>
                <w:rFonts w:cs="仿宋_GB2312"/>
                <w:kern w:val="0"/>
                <w:sz w:val="21"/>
                <w:szCs w:val="21"/>
              </w:rPr>
            </w:pPr>
            <w:r>
              <w:rPr>
                <w:rFonts w:cs="仿宋_GB2312"/>
                <w:kern w:val="0"/>
                <w:sz w:val="21"/>
                <w:szCs w:val="21"/>
              </w:rPr>
              <w:t>15</w:t>
            </w:r>
          </w:p>
        </w:tc>
        <w:tc>
          <w:tcPr>
            <w:tcW w:w="941" w:type="pct"/>
            <w:tcBorders>
              <w:top w:val="single" w:color="auto" w:sz="6" w:space="0"/>
              <w:left w:val="single" w:color="auto" w:sz="6" w:space="0"/>
              <w:bottom w:val="single" w:color="auto" w:sz="6" w:space="0"/>
              <w:right w:val="single" w:color="auto" w:sz="6" w:space="0"/>
            </w:tcBorders>
            <w:vAlign w:val="center"/>
          </w:tcPr>
          <w:p w14:paraId="55CCFB99">
            <w:pPr>
              <w:spacing w:line="260" w:lineRule="exact"/>
              <w:ind w:firstLine="0" w:firstLineChars="0"/>
              <w:jc w:val="center"/>
              <w:rPr>
                <w:rFonts w:cs="仿宋_GB2312"/>
                <w:kern w:val="0"/>
                <w:sz w:val="21"/>
                <w:szCs w:val="21"/>
              </w:rPr>
            </w:pPr>
            <w:r>
              <w:rPr>
                <w:rFonts w:hint="eastAsia" w:cs="仿宋_GB2312"/>
                <w:kern w:val="0"/>
                <w:sz w:val="21"/>
                <w:szCs w:val="21"/>
              </w:rPr>
              <w:t>已完成</w:t>
            </w:r>
          </w:p>
        </w:tc>
        <w:tc>
          <w:tcPr>
            <w:tcW w:w="644" w:type="pct"/>
            <w:tcBorders>
              <w:top w:val="single" w:color="auto" w:sz="6" w:space="0"/>
              <w:left w:val="single" w:color="auto" w:sz="6" w:space="0"/>
              <w:bottom w:val="single" w:color="auto" w:sz="6" w:space="0"/>
              <w:right w:val="single" w:color="auto" w:sz="6" w:space="0"/>
            </w:tcBorders>
            <w:vAlign w:val="center"/>
          </w:tcPr>
          <w:p w14:paraId="284666B0">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0D703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32D0EE9F">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7335133D">
            <w:pPr>
              <w:spacing w:line="260" w:lineRule="exact"/>
              <w:ind w:firstLine="0" w:firstLineChars="0"/>
              <w:jc w:val="center"/>
              <w:rPr>
                <w:rFonts w:cs="仿宋_GB2312"/>
                <w:kern w:val="0"/>
                <w:sz w:val="21"/>
                <w:szCs w:val="21"/>
              </w:rPr>
            </w:pPr>
            <w:r>
              <w:rPr>
                <w:rFonts w:cs="仿宋_GB2312"/>
                <w:kern w:val="0"/>
                <w:sz w:val="21"/>
                <w:szCs w:val="21"/>
              </w:rPr>
              <w:t>21</w:t>
            </w:r>
          </w:p>
        </w:tc>
        <w:tc>
          <w:tcPr>
            <w:tcW w:w="1476" w:type="pct"/>
            <w:tcBorders>
              <w:top w:val="single" w:color="auto" w:sz="6" w:space="0"/>
              <w:left w:val="single" w:color="auto" w:sz="6" w:space="0"/>
              <w:bottom w:val="single" w:color="auto" w:sz="6" w:space="0"/>
              <w:right w:val="single" w:color="auto" w:sz="6" w:space="0"/>
            </w:tcBorders>
            <w:vAlign w:val="center"/>
          </w:tcPr>
          <w:p w14:paraId="5928934C">
            <w:pPr>
              <w:spacing w:line="260" w:lineRule="exact"/>
              <w:ind w:firstLine="0" w:firstLineChars="0"/>
              <w:jc w:val="center"/>
              <w:rPr>
                <w:rFonts w:cs="仿宋_GB2312"/>
                <w:kern w:val="0"/>
                <w:sz w:val="21"/>
                <w:szCs w:val="21"/>
              </w:rPr>
            </w:pPr>
            <w:r>
              <w:rPr>
                <w:rFonts w:cs="仿宋_GB2312"/>
                <w:kern w:val="0"/>
                <w:sz w:val="21"/>
                <w:szCs w:val="21"/>
              </w:rPr>
              <w:t>空气质量优良天数比率</w:t>
            </w:r>
          </w:p>
        </w:tc>
        <w:tc>
          <w:tcPr>
            <w:tcW w:w="513" w:type="pct"/>
            <w:tcBorders>
              <w:top w:val="single" w:color="auto" w:sz="6" w:space="0"/>
              <w:left w:val="single" w:color="auto" w:sz="6" w:space="0"/>
              <w:bottom w:val="single" w:color="auto" w:sz="6" w:space="0"/>
              <w:right w:val="single" w:color="auto" w:sz="6" w:space="0"/>
            </w:tcBorders>
            <w:vAlign w:val="center"/>
          </w:tcPr>
          <w:p w14:paraId="782E48B0">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254366FE">
            <w:pPr>
              <w:spacing w:line="260" w:lineRule="exact"/>
              <w:ind w:firstLine="0" w:firstLineChars="0"/>
              <w:jc w:val="center"/>
              <w:rPr>
                <w:rFonts w:cs="仿宋_GB2312"/>
                <w:kern w:val="0"/>
                <w:sz w:val="21"/>
                <w:szCs w:val="21"/>
              </w:rPr>
            </w:pPr>
            <w:r>
              <w:rPr>
                <w:rFonts w:cs="仿宋_GB2312"/>
                <w:kern w:val="0"/>
                <w:sz w:val="21"/>
                <w:szCs w:val="21"/>
              </w:rPr>
              <w:t>85</w:t>
            </w:r>
          </w:p>
        </w:tc>
        <w:tc>
          <w:tcPr>
            <w:tcW w:w="941" w:type="pct"/>
            <w:tcBorders>
              <w:top w:val="single" w:color="auto" w:sz="6" w:space="0"/>
              <w:left w:val="single" w:color="auto" w:sz="6" w:space="0"/>
              <w:bottom w:val="single" w:color="auto" w:sz="6" w:space="0"/>
              <w:right w:val="single" w:color="auto" w:sz="6" w:space="0"/>
            </w:tcBorders>
            <w:vAlign w:val="center"/>
          </w:tcPr>
          <w:p w14:paraId="339BC433">
            <w:pPr>
              <w:spacing w:line="260" w:lineRule="exact"/>
              <w:ind w:firstLine="0" w:firstLineChars="0"/>
              <w:jc w:val="center"/>
              <w:rPr>
                <w:rFonts w:cs="仿宋_GB2312"/>
                <w:kern w:val="0"/>
                <w:sz w:val="21"/>
                <w:szCs w:val="21"/>
              </w:rPr>
            </w:pPr>
            <w:r>
              <w:rPr>
                <w:rFonts w:cs="仿宋_GB2312"/>
                <w:kern w:val="0"/>
                <w:sz w:val="21"/>
                <w:szCs w:val="21"/>
              </w:rPr>
              <w:t>85</w:t>
            </w:r>
          </w:p>
        </w:tc>
        <w:tc>
          <w:tcPr>
            <w:tcW w:w="644" w:type="pct"/>
            <w:tcBorders>
              <w:top w:val="single" w:color="auto" w:sz="6" w:space="0"/>
              <w:left w:val="single" w:color="auto" w:sz="6" w:space="0"/>
              <w:bottom w:val="single" w:color="auto" w:sz="6" w:space="0"/>
              <w:right w:val="single" w:color="auto" w:sz="6" w:space="0"/>
            </w:tcBorders>
            <w:vAlign w:val="center"/>
          </w:tcPr>
          <w:p w14:paraId="70488399">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0CC8A4C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3B58A8A2">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09195E35">
            <w:pPr>
              <w:spacing w:line="260" w:lineRule="exact"/>
              <w:ind w:firstLine="0" w:firstLineChars="0"/>
              <w:jc w:val="center"/>
              <w:rPr>
                <w:rFonts w:cs="仿宋_GB2312"/>
                <w:kern w:val="0"/>
                <w:sz w:val="21"/>
                <w:szCs w:val="21"/>
              </w:rPr>
            </w:pPr>
            <w:r>
              <w:rPr>
                <w:rFonts w:cs="仿宋_GB2312"/>
                <w:kern w:val="0"/>
                <w:sz w:val="21"/>
                <w:szCs w:val="21"/>
              </w:rPr>
              <w:t>22</w:t>
            </w:r>
          </w:p>
        </w:tc>
        <w:tc>
          <w:tcPr>
            <w:tcW w:w="1476" w:type="pct"/>
            <w:tcBorders>
              <w:top w:val="single" w:color="auto" w:sz="6" w:space="0"/>
              <w:left w:val="single" w:color="auto" w:sz="6" w:space="0"/>
              <w:bottom w:val="single" w:color="auto" w:sz="6" w:space="0"/>
              <w:right w:val="single" w:color="auto" w:sz="6" w:space="0"/>
            </w:tcBorders>
            <w:vAlign w:val="center"/>
          </w:tcPr>
          <w:p w14:paraId="48514E22">
            <w:pPr>
              <w:spacing w:line="260" w:lineRule="exact"/>
              <w:ind w:firstLine="0" w:firstLineChars="0"/>
              <w:jc w:val="center"/>
              <w:rPr>
                <w:rFonts w:cs="仿宋_GB2312"/>
                <w:kern w:val="0"/>
                <w:sz w:val="21"/>
                <w:szCs w:val="21"/>
              </w:rPr>
            </w:pPr>
            <w:r>
              <w:rPr>
                <w:rFonts w:cs="仿宋_GB2312"/>
                <w:kern w:val="0"/>
                <w:sz w:val="21"/>
                <w:szCs w:val="21"/>
              </w:rPr>
              <w:t>城市污水集中收集率</w:t>
            </w:r>
          </w:p>
        </w:tc>
        <w:tc>
          <w:tcPr>
            <w:tcW w:w="513" w:type="pct"/>
            <w:tcBorders>
              <w:top w:val="single" w:color="auto" w:sz="6" w:space="0"/>
              <w:left w:val="single" w:color="auto" w:sz="6" w:space="0"/>
              <w:bottom w:val="single" w:color="auto" w:sz="6" w:space="0"/>
              <w:right w:val="single" w:color="auto" w:sz="6" w:space="0"/>
            </w:tcBorders>
            <w:vAlign w:val="center"/>
          </w:tcPr>
          <w:p w14:paraId="4E950118">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3D787675">
            <w:pPr>
              <w:spacing w:line="260" w:lineRule="exact"/>
              <w:ind w:firstLine="0" w:firstLineChars="0"/>
              <w:jc w:val="center"/>
              <w:rPr>
                <w:rFonts w:cs="仿宋_GB2312"/>
                <w:kern w:val="0"/>
                <w:sz w:val="21"/>
                <w:szCs w:val="21"/>
              </w:rPr>
            </w:pPr>
            <w:r>
              <w:rPr>
                <w:rFonts w:cs="仿宋_GB2312"/>
                <w:kern w:val="0"/>
                <w:sz w:val="21"/>
                <w:szCs w:val="21"/>
              </w:rPr>
              <w:t>100</w:t>
            </w:r>
          </w:p>
        </w:tc>
        <w:tc>
          <w:tcPr>
            <w:tcW w:w="941" w:type="pct"/>
            <w:tcBorders>
              <w:top w:val="single" w:color="auto" w:sz="6" w:space="0"/>
              <w:left w:val="single" w:color="auto" w:sz="6" w:space="0"/>
              <w:bottom w:val="single" w:color="auto" w:sz="6" w:space="0"/>
              <w:right w:val="single" w:color="auto" w:sz="6" w:space="0"/>
            </w:tcBorders>
            <w:vAlign w:val="center"/>
          </w:tcPr>
          <w:p w14:paraId="534B266E">
            <w:pPr>
              <w:spacing w:line="260" w:lineRule="exact"/>
              <w:ind w:firstLine="0" w:firstLineChars="0"/>
              <w:jc w:val="center"/>
              <w:rPr>
                <w:rFonts w:cs="仿宋_GB2312"/>
                <w:kern w:val="0"/>
                <w:sz w:val="21"/>
                <w:szCs w:val="21"/>
              </w:rPr>
            </w:pPr>
            <w:r>
              <w:rPr>
                <w:rFonts w:cs="仿宋_GB2312"/>
                <w:kern w:val="0"/>
                <w:sz w:val="21"/>
                <w:szCs w:val="21"/>
              </w:rPr>
              <w:t>99</w:t>
            </w:r>
          </w:p>
        </w:tc>
        <w:tc>
          <w:tcPr>
            <w:tcW w:w="644" w:type="pct"/>
            <w:tcBorders>
              <w:top w:val="single" w:color="auto" w:sz="6" w:space="0"/>
              <w:left w:val="single" w:color="auto" w:sz="6" w:space="0"/>
              <w:bottom w:val="single" w:color="auto" w:sz="6" w:space="0"/>
              <w:right w:val="single" w:color="auto" w:sz="6" w:space="0"/>
            </w:tcBorders>
            <w:vAlign w:val="center"/>
          </w:tcPr>
          <w:p w14:paraId="20319D4B">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4CB70E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bottom w:val="single" w:color="auto" w:sz="6" w:space="0"/>
              <w:right w:val="single" w:color="auto" w:sz="6" w:space="0"/>
            </w:tcBorders>
            <w:vAlign w:val="center"/>
          </w:tcPr>
          <w:p w14:paraId="41209EDC">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206ABD8F">
            <w:pPr>
              <w:spacing w:line="260" w:lineRule="exact"/>
              <w:ind w:firstLine="0" w:firstLineChars="0"/>
              <w:jc w:val="center"/>
              <w:rPr>
                <w:rFonts w:cs="仿宋_GB2312"/>
                <w:kern w:val="0"/>
                <w:sz w:val="21"/>
                <w:szCs w:val="21"/>
              </w:rPr>
            </w:pPr>
            <w:r>
              <w:rPr>
                <w:rFonts w:cs="仿宋_GB2312"/>
                <w:kern w:val="0"/>
                <w:sz w:val="21"/>
                <w:szCs w:val="21"/>
              </w:rPr>
              <w:t>23</w:t>
            </w:r>
          </w:p>
        </w:tc>
        <w:tc>
          <w:tcPr>
            <w:tcW w:w="1476" w:type="pct"/>
            <w:tcBorders>
              <w:top w:val="single" w:color="auto" w:sz="6" w:space="0"/>
              <w:left w:val="single" w:color="auto" w:sz="6" w:space="0"/>
              <w:bottom w:val="single" w:color="auto" w:sz="6" w:space="0"/>
              <w:right w:val="single" w:color="auto" w:sz="6" w:space="0"/>
            </w:tcBorders>
            <w:vAlign w:val="center"/>
          </w:tcPr>
          <w:p w14:paraId="2DB0DD69">
            <w:pPr>
              <w:spacing w:line="260" w:lineRule="exact"/>
              <w:ind w:firstLine="0" w:firstLineChars="0"/>
              <w:jc w:val="center"/>
              <w:rPr>
                <w:rFonts w:cs="仿宋_GB2312"/>
                <w:kern w:val="0"/>
                <w:sz w:val="21"/>
                <w:szCs w:val="21"/>
              </w:rPr>
            </w:pPr>
            <w:r>
              <w:rPr>
                <w:rFonts w:cs="仿宋_GB2312"/>
                <w:kern w:val="0"/>
                <w:sz w:val="21"/>
                <w:szCs w:val="21"/>
              </w:rPr>
              <w:t>生态保护区面积</w:t>
            </w:r>
          </w:p>
        </w:tc>
        <w:tc>
          <w:tcPr>
            <w:tcW w:w="513" w:type="pct"/>
            <w:tcBorders>
              <w:top w:val="single" w:color="auto" w:sz="6" w:space="0"/>
              <w:left w:val="single" w:color="auto" w:sz="6" w:space="0"/>
              <w:bottom w:val="single" w:color="auto" w:sz="6" w:space="0"/>
              <w:right w:val="single" w:color="auto" w:sz="6" w:space="0"/>
            </w:tcBorders>
            <w:vAlign w:val="center"/>
          </w:tcPr>
          <w:p w14:paraId="1855F27F">
            <w:pPr>
              <w:spacing w:line="260" w:lineRule="exact"/>
              <w:ind w:firstLine="0" w:firstLineChars="0"/>
              <w:jc w:val="center"/>
              <w:rPr>
                <w:rFonts w:cs="仿宋_GB2312"/>
                <w:kern w:val="0"/>
                <w:sz w:val="18"/>
                <w:szCs w:val="18"/>
              </w:rPr>
            </w:pPr>
            <w:r>
              <w:rPr>
                <w:rFonts w:cs="仿宋_GB2312"/>
                <w:kern w:val="0"/>
                <w:sz w:val="18"/>
                <w:szCs w:val="18"/>
              </w:rPr>
              <w:t>平方</w:t>
            </w:r>
          </w:p>
          <w:p w14:paraId="074447F7">
            <w:pPr>
              <w:spacing w:line="260" w:lineRule="exact"/>
              <w:ind w:firstLine="0" w:firstLineChars="0"/>
              <w:jc w:val="center"/>
              <w:rPr>
                <w:rFonts w:cs="仿宋_GB2312"/>
                <w:kern w:val="0"/>
                <w:sz w:val="21"/>
                <w:szCs w:val="21"/>
              </w:rPr>
            </w:pPr>
            <w:r>
              <w:rPr>
                <w:rFonts w:cs="仿宋_GB2312"/>
                <w:kern w:val="0"/>
                <w:sz w:val="18"/>
                <w:szCs w:val="18"/>
              </w:rPr>
              <w:t>公里</w:t>
            </w:r>
          </w:p>
        </w:tc>
        <w:tc>
          <w:tcPr>
            <w:tcW w:w="598" w:type="pct"/>
            <w:tcBorders>
              <w:top w:val="single" w:color="auto" w:sz="6" w:space="0"/>
              <w:left w:val="single" w:color="auto" w:sz="6" w:space="0"/>
              <w:bottom w:val="single" w:color="auto" w:sz="6" w:space="0"/>
              <w:right w:val="single" w:color="auto" w:sz="6" w:space="0"/>
            </w:tcBorders>
            <w:vAlign w:val="center"/>
          </w:tcPr>
          <w:p w14:paraId="10FAB2F9">
            <w:pPr>
              <w:spacing w:line="260" w:lineRule="exact"/>
              <w:ind w:firstLine="0" w:firstLineChars="0"/>
              <w:jc w:val="center"/>
              <w:rPr>
                <w:rFonts w:cs="仿宋_GB2312"/>
                <w:kern w:val="0"/>
                <w:sz w:val="21"/>
                <w:szCs w:val="21"/>
              </w:rPr>
            </w:pPr>
            <w:r>
              <w:rPr>
                <w:rFonts w:cs="仿宋_GB2312"/>
                <w:kern w:val="0"/>
                <w:sz w:val="21"/>
                <w:szCs w:val="21"/>
              </w:rPr>
              <w:t>198</w:t>
            </w:r>
          </w:p>
        </w:tc>
        <w:tc>
          <w:tcPr>
            <w:tcW w:w="941" w:type="pct"/>
            <w:tcBorders>
              <w:top w:val="single" w:color="auto" w:sz="6" w:space="0"/>
              <w:left w:val="single" w:color="auto" w:sz="6" w:space="0"/>
              <w:bottom w:val="single" w:color="auto" w:sz="6" w:space="0"/>
              <w:right w:val="single" w:color="auto" w:sz="6" w:space="0"/>
            </w:tcBorders>
            <w:vAlign w:val="center"/>
          </w:tcPr>
          <w:p w14:paraId="541CAE61">
            <w:pPr>
              <w:spacing w:line="260" w:lineRule="exact"/>
              <w:ind w:firstLine="0" w:firstLineChars="0"/>
              <w:jc w:val="center"/>
              <w:rPr>
                <w:rFonts w:cs="仿宋_GB2312"/>
                <w:kern w:val="0"/>
                <w:sz w:val="21"/>
                <w:szCs w:val="21"/>
              </w:rPr>
            </w:pPr>
            <w:r>
              <w:rPr>
                <w:rFonts w:cs="仿宋_GB2312"/>
                <w:kern w:val="0"/>
                <w:sz w:val="21"/>
                <w:szCs w:val="21"/>
              </w:rPr>
              <w:t>198</w:t>
            </w:r>
          </w:p>
        </w:tc>
        <w:tc>
          <w:tcPr>
            <w:tcW w:w="644" w:type="pct"/>
            <w:tcBorders>
              <w:top w:val="single" w:color="auto" w:sz="6" w:space="0"/>
              <w:left w:val="single" w:color="auto" w:sz="6" w:space="0"/>
              <w:bottom w:val="single" w:color="auto" w:sz="6" w:space="0"/>
              <w:right w:val="single" w:color="auto" w:sz="6" w:space="0"/>
            </w:tcBorders>
            <w:vAlign w:val="center"/>
          </w:tcPr>
          <w:p w14:paraId="22D4B1D9">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10F831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restart"/>
            <w:tcBorders>
              <w:top w:val="single" w:color="auto" w:sz="6" w:space="0"/>
              <w:left w:val="single" w:color="auto" w:sz="6" w:space="0"/>
              <w:right w:val="single" w:color="auto" w:sz="6" w:space="0"/>
            </w:tcBorders>
            <w:vAlign w:val="center"/>
          </w:tcPr>
          <w:p w14:paraId="1C652309">
            <w:pPr>
              <w:widowControl/>
              <w:spacing w:line="260" w:lineRule="exact"/>
              <w:ind w:firstLine="0" w:firstLineChars="0"/>
              <w:jc w:val="left"/>
              <w:rPr>
                <w:rFonts w:cs="仿宋_GB2312"/>
                <w:kern w:val="0"/>
                <w:sz w:val="21"/>
                <w:szCs w:val="21"/>
              </w:rPr>
            </w:pPr>
            <w:r>
              <w:rPr>
                <w:rFonts w:cs="仿宋_GB2312"/>
                <w:kern w:val="0"/>
                <w:sz w:val="21"/>
                <w:szCs w:val="21"/>
              </w:rPr>
              <w:t>民生福祉</w:t>
            </w:r>
          </w:p>
        </w:tc>
        <w:tc>
          <w:tcPr>
            <w:tcW w:w="414" w:type="pct"/>
            <w:tcBorders>
              <w:top w:val="single" w:color="auto" w:sz="6" w:space="0"/>
              <w:left w:val="single" w:color="auto" w:sz="6" w:space="0"/>
              <w:bottom w:val="single" w:color="auto" w:sz="6" w:space="0"/>
              <w:right w:val="single" w:color="auto" w:sz="6" w:space="0"/>
            </w:tcBorders>
            <w:vAlign w:val="center"/>
          </w:tcPr>
          <w:p w14:paraId="7116F1AF">
            <w:pPr>
              <w:spacing w:line="260" w:lineRule="exact"/>
              <w:ind w:firstLine="0" w:firstLineChars="0"/>
              <w:jc w:val="center"/>
              <w:rPr>
                <w:rFonts w:cs="仿宋_GB2312"/>
                <w:kern w:val="0"/>
                <w:sz w:val="21"/>
                <w:szCs w:val="21"/>
              </w:rPr>
            </w:pPr>
            <w:r>
              <w:rPr>
                <w:rFonts w:cs="仿宋_GB2312"/>
                <w:kern w:val="0"/>
                <w:sz w:val="21"/>
                <w:szCs w:val="21"/>
              </w:rPr>
              <w:t>24</w:t>
            </w:r>
          </w:p>
        </w:tc>
        <w:tc>
          <w:tcPr>
            <w:tcW w:w="1476" w:type="pct"/>
            <w:tcBorders>
              <w:top w:val="single" w:color="auto" w:sz="6" w:space="0"/>
              <w:left w:val="single" w:color="auto" w:sz="6" w:space="0"/>
              <w:bottom w:val="single" w:color="auto" w:sz="6" w:space="0"/>
              <w:right w:val="single" w:color="auto" w:sz="6" w:space="0"/>
            </w:tcBorders>
            <w:vAlign w:val="center"/>
          </w:tcPr>
          <w:p w14:paraId="485909BE">
            <w:pPr>
              <w:spacing w:line="260" w:lineRule="exact"/>
              <w:ind w:firstLine="0" w:firstLineChars="0"/>
              <w:jc w:val="center"/>
              <w:rPr>
                <w:rFonts w:cs="仿宋_GB2312"/>
                <w:kern w:val="0"/>
                <w:sz w:val="21"/>
                <w:szCs w:val="21"/>
              </w:rPr>
            </w:pPr>
            <w:r>
              <w:rPr>
                <w:rFonts w:cs="仿宋_GB2312"/>
                <w:kern w:val="0"/>
                <w:sz w:val="21"/>
                <w:szCs w:val="21"/>
              </w:rPr>
              <w:t>基本养老保险参保率</w:t>
            </w:r>
          </w:p>
        </w:tc>
        <w:tc>
          <w:tcPr>
            <w:tcW w:w="513" w:type="pct"/>
            <w:tcBorders>
              <w:top w:val="single" w:color="auto" w:sz="6" w:space="0"/>
              <w:left w:val="single" w:color="auto" w:sz="6" w:space="0"/>
              <w:bottom w:val="single" w:color="auto" w:sz="6" w:space="0"/>
              <w:right w:val="single" w:color="auto" w:sz="6" w:space="0"/>
            </w:tcBorders>
            <w:vAlign w:val="center"/>
          </w:tcPr>
          <w:p w14:paraId="664CCAC2">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14AA567B">
            <w:pPr>
              <w:spacing w:line="260" w:lineRule="exact"/>
              <w:ind w:firstLine="0" w:firstLineChars="0"/>
              <w:jc w:val="center"/>
              <w:rPr>
                <w:rFonts w:cs="仿宋_GB2312"/>
                <w:kern w:val="0"/>
                <w:sz w:val="21"/>
                <w:szCs w:val="21"/>
              </w:rPr>
            </w:pPr>
            <w:r>
              <w:rPr>
                <w:rFonts w:cs="仿宋_GB2312"/>
                <w:kern w:val="0"/>
                <w:sz w:val="21"/>
                <w:szCs w:val="21"/>
              </w:rPr>
              <w:t>91</w:t>
            </w:r>
          </w:p>
        </w:tc>
        <w:tc>
          <w:tcPr>
            <w:tcW w:w="941" w:type="pct"/>
            <w:tcBorders>
              <w:top w:val="single" w:color="auto" w:sz="6" w:space="0"/>
              <w:left w:val="single" w:color="auto" w:sz="6" w:space="0"/>
              <w:bottom w:val="single" w:color="auto" w:sz="6" w:space="0"/>
              <w:right w:val="single" w:color="auto" w:sz="6" w:space="0"/>
            </w:tcBorders>
            <w:vAlign w:val="center"/>
          </w:tcPr>
          <w:p w14:paraId="1ECD2050">
            <w:pPr>
              <w:spacing w:line="260" w:lineRule="exact"/>
              <w:ind w:firstLine="0" w:firstLineChars="0"/>
              <w:jc w:val="center"/>
              <w:rPr>
                <w:rFonts w:cs="仿宋_GB2312"/>
                <w:kern w:val="0"/>
                <w:sz w:val="21"/>
                <w:szCs w:val="21"/>
              </w:rPr>
            </w:pPr>
            <w:r>
              <w:rPr>
                <w:rFonts w:cs="仿宋_GB2312"/>
                <w:kern w:val="0"/>
                <w:sz w:val="21"/>
                <w:szCs w:val="21"/>
              </w:rPr>
              <w:t>91</w:t>
            </w:r>
          </w:p>
        </w:tc>
        <w:tc>
          <w:tcPr>
            <w:tcW w:w="644" w:type="pct"/>
            <w:tcBorders>
              <w:top w:val="single" w:color="auto" w:sz="6" w:space="0"/>
              <w:left w:val="single" w:color="auto" w:sz="6" w:space="0"/>
              <w:bottom w:val="single" w:color="auto" w:sz="6" w:space="0"/>
              <w:right w:val="single" w:color="auto" w:sz="6" w:space="0"/>
            </w:tcBorders>
            <w:vAlign w:val="center"/>
          </w:tcPr>
          <w:p w14:paraId="2BC95F41">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5DC2BB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5C1C6AF5">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402E9368">
            <w:pPr>
              <w:spacing w:line="260" w:lineRule="exact"/>
              <w:ind w:firstLine="0" w:firstLineChars="0"/>
              <w:jc w:val="center"/>
              <w:rPr>
                <w:rFonts w:cs="仿宋_GB2312"/>
                <w:kern w:val="0"/>
                <w:sz w:val="21"/>
                <w:szCs w:val="21"/>
              </w:rPr>
            </w:pPr>
            <w:r>
              <w:rPr>
                <w:rFonts w:cs="仿宋_GB2312"/>
                <w:kern w:val="0"/>
                <w:sz w:val="21"/>
                <w:szCs w:val="21"/>
              </w:rPr>
              <w:t>25</w:t>
            </w:r>
          </w:p>
        </w:tc>
        <w:tc>
          <w:tcPr>
            <w:tcW w:w="1476" w:type="pct"/>
            <w:tcBorders>
              <w:top w:val="single" w:color="auto" w:sz="6" w:space="0"/>
              <w:left w:val="single" w:color="auto" w:sz="6" w:space="0"/>
              <w:bottom w:val="single" w:color="auto" w:sz="6" w:space="0"/>
              <w:right w:val="single" w:color="auto" w:sz="6" w:space="0"/>
            </w:tcBorders>
            <w:vAlign w:val="center"/>
          </w:tcPr>
          <w:p w14:paraId="4AFE302D">
            <w:pPr>
              <w:spacing w:line="260" w:lineRule="exact"/>
              <w:ind w:firstLine="0" w:firstLineChars="0"/>
              <w:jc w:val="center"/>
              <w:rPr>
                <w:rFonts w:cs="仿宋_GB2312"/>
                <w:kern w:val="0"/>
                <w:sz w:val="21"/>
                <w:szCs w:val="21"/>
              </w:rPr>
            </w:pPr>
            <w:r>
              <w:rPr>
                <w:rFonts w:cs="仿宋_GB2312"/>
                <w:kern w:val="0"/>
                <w:sz w:val="21"/>
                <w:szCs w:val="21"/>
              </w:rPr>
              <w:t>学前教育普及普惠</w:t>
            </w:r>
          </w:p>
          <w:p w14:paraId="66B26F94">
            <w:pPr>
              <w:spacing w:line="260" w:lineRule="exact"/>
              <w:ind w:firstLine="0" w:firstLineChars="0"/>
              <w:jc w:val="center"/>
              <w:rPr>
                <w:rFonts w:cs="仿宋_GB2312"/>
                <w:kern w:val="0"/>
                <w:sz w:val="21"/>
                <w:szCs w:val="21"/>
              </w:rPr>
            </w:pPr>
            <w:r>
              <w:rPr>
                <w:rFonts w:cs="仿宋_GB2312"/>
                <w:kern w:val="0"/>
                <w:sz w:val="21"/>
                <w:szCs w:val="21"/>
              </w:rPr>
              <w:t>巩固目标</w:t>
            </w:r>
          </w:p>
        </w:tc>
        <w:tc>
          <w:tcPr>
            <w:tcW w:w="513" w:type="pct"/>
            <w:tcBorders>
              <w:top w:val="single" w:color="auto" w:sz="6" w:space="0"/>
              <w:left w:val="single" w:color="auto" w:sz="6" w:space="0"/>
              <w:bottom w:val="single" w:color="auto" w:sz="6" w:space="0"/>
              <w:right w:val="single" w:color="auto" w:sz="6" w:space="0"/>
            </w:tcBorders>
            <w:vAlign w:val="center"/>
          </w:tcPr>
          <w:p w14:paraId="4B6C7250">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085CADC3">
            <w:pPr>
              <w:spacing w:line="260" w:lineRule="exact"/>
              <w:ind w:firstLine="0" w:firstLineChars="0"/>
              <w:jc w:val="center"/>
              <w:rPr>
                <w:rFonts w:cs="仿宋_GB2312"/>
                <w:kern w:val="0"/>
                <w:sz w:val="21"/>
                <w:szCs w:val="21"/>
              </w:rPr>
            </w:pPr>
            <w:r>
              <w:rPr>
                <w:rFonts w:cs="仿宋_GB2312"/>
                <w:kern w:val="0"/>
                <w:sz w:val="21"/>
                <w:szCs w:val="21"/>
              </w:rPr>
              <w:t>100</w:t>
            </w:r>
          </w:p>
        </w:tc>
        <w:tc>
          <w:tcPr>
            <w:tcW w:w="941" w:type="pct"/>
            <w:tcBorders>
              <w:top w:val="single" w:color="auto" w:sz="6" w:space="0"/>
              <w:left w:val="single" w:color="auto" w:sz="6" w:space="0"/>
              <w:bottom w:val="single" w:color="auto" w:sz="6" w:space="0"/>
              <w:right w:val="single" w:color="auto" w:sz="6" w:space="0"/>
            </w:tcBorders>
            <w:vAlign w:val="center"/>
          </w:tcPr>
          <w:p w14:paraId="2E91D6CF">
            <w:pPr>
              <w:spacing w:line="260" w:lineRule="exact"/>
              <w:ind w:firstLine="0" w:firstLineChars="0"/>
              <w:jc w:val="center"/>
              <w:rPr>
                <w:rFonts w:cs="仿宋_GB2312"/>
                <w:kern w:val="0"/>
                <w:sz w:val="21"/>
                <w:szCs w:val="21"/>
              </w:rPr>
            </w:pPr>
            <w:r>
              <w:rPr>
                <w:rFonts w:cs="仿宋_GB2312"/>
                <w:kern w:val="0"/>
                <w:sz w:val="21"/>
                <w:szCs w:val="21"/>
              </w:rPr>
              <w:t>96</w:t>
            </w:r>
          </w:p>
        </w:tc>
        <w:tc>
          <w:tcPr>
            <w:tcW w:w="644" w:type="pct"/>
            <w:tcBorders>
              <w:top w:val="single" w:color="auto" w:sz="6" w:space="0"/>
              <w:left w:val="single" w:color="auto" w:sz="6" w:space="0"/>
              <w:bottom w:val="single" w:color="auto" w:sz="6" w:space="0"/>
              <w:right w:val="single" w:color="auto" w:sz="6" w:space="0"/>
            </w:tcBorders>
            <w:vAlign w:val="center"/>
          </w:tcPr>
          <w:p w14:paraId="3CD91F9A">
            <w:pPr>
              <w:spacing w:line="260" w:lineRule="exact"/>
              <w:ind w:firstLine="0" w:firstLineChars="0"/>
              <w:jc w:val="center"/>
              <w:rPr>
                <w:rFonts w:cs="仿宋_GB2312"/>
                <w:kern w:val="0"/>
                <w:sz w:val="21"/>
                <w:szCs w:val="21"/>
              </w:rPr>
            </w:pPr>
            <w:r>
              <w:rPr>
                <w:rFonts w:hint="eastAsia" w:cs="仿宋_GB2312"/>
                <w:kern w:val="0"/>
                <w:sz w:val="21"/>
                <w:szCs w:val="21"/>
              </w:rPr>
              <w:t>—</w:t>
            </w:r>
          </w:p>
        </w:tc>
      </w:tr>
      <w:tr w14:paraId="6754775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22431944">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154CC0D1">
            <w:pPr>
              <w:spacing w:line="260" w:lineRule="exact"/>
              <w:ind w:firstLine="0" w:firstLineChars="0"/>
              <w:jc w:val="center"/>
              <w:rPr>
                <w:rFonts w:cs="仿宋_GB2312"/>
                <w:kern w:val="0"/>
                <w:sz w:val="21"/>
                <w:szCs w:val="21"/>
              </w:rPr>
            </w:pPr>
            <w:r>
              <w:rPr>
                <w:rFonts w:cs="仿宋_GB2312"/>
                <w:kern w:val="0"/>
                <w:sz w:val="21"/>
                <w:szCs w:val="21"/>
              </w:rPr>
              <w:t>26</w:t>
            </w:r>
          </w:p>
        </w:tc>
        <w:tc>
          <w:tcPr>
            <w:tcW w:w="1476" w:type="pct"/>
            <w:tcBorders>
              <w:top w:val="single" w:color="auto" w:sz="6" w:space="0"/>
              <w:left w:val="single" w:color="auto" w:sz="6" w:space="0"/>
              <w:bottom w:val="single" w:color="auto" w:sz="6" w:space="0"/>
              <w:right w:val="single" w:color="auto" w:sz="6" w:space="0"/>
            </w:tcBorders>
            <w:vAlign w:val="center"/>
          </w:tcPr>
          <w:p w14:paraId="24ACEE6C">
            <w:pPr>
              <w:spacing w:line="260" w:lineRule="exact"/>
              <w:ind w:firstLine="0" w:firstLineChars="0"/>
              <w:jc w:val="center"/>
              <w:rPr>
                <w:rFonts w:cs="仿宋_GB2312"/>
                <w:kern w:val="0"/>
                <w:sz w:val="21"/>
                <w:szCs w:val="21"/>
              </w:rPr>
            </w:pPr>
            <w:r>
              <w:rPr>
                <w:rFonts w:cs="仿宋_GB2312"/>
                <w:kern w:val="0"/>
                <w:sz w:val="21"/>
                <w:szCs w:val="21"/>
              </w:rPr>
              <w:t>劳动年龄人口平均</w:t>
            </w:r>
          </w:p>
          <w:p w14:paraId="55D0FBF0">
            <w:pPr>
              <w:spacing w:line="260" w:lineRule="exact"/>
              <w:ind w:firstLine="0" w:firstLineChars="0"/>
              <w:jc w:val="center"/>
              <w:rPr>
                <w:rFonts w:cs="仿宋_GB2312"/>
                <w:kern w:val="0"/>
                <w:sz w:val="21"/>
                <w:szCs w:val="21"/>
              </w:rPr>
            </w:pPr>
            <w:r>
              <w:rPr>
                <w:rFonts w:cs="仿宋_GB2312"/>
                <w:kern w:val="0"/>
                <w:sz w:val="21"/>
                <w:szCs w:val="21"/>
              </w:rPr>
              <w:t>受教育年限</w:t>
            </w:r>
          </w:p>
        </w:tc>
        <w:tc>
          <w:tcPr>
            <w:tcW w:w="513" w:type="pct"/>
            <w:tcBorders>
              <w:top w:val="single" w:color="auto" w:sz="6" w:space="0"/>
              <w:left w:val="single" w:color="auto" w:sz="6" w:space="0"/>
              <w:bottom w:val="single" w:color="auto" w:sz="6" w:space="0"/>
              <w:right w:val="single" w:color="auto" w:sz="6" w:space="0"/>
            </w:tcBorders>
            <w:vAlign w:val="center"/>
          </w:tcPr>
          <w:p w14:paraId="3E777422">
            <w:pPr>
              <w:spacing w:line="260" w:lineRule="exact"/>
              <w:ind w:firstLine="0" w:firstLineChars="0"/>
              <w:jc w:val="center"/>
              <w:rPr>
                <w:rFonts w:cs="仿宋_GB2312"/>
                <w:kern w:val="0"/>
                <w:sz w:val="21"/>
                <w:szCs w:val="21"/>
              </w:rPr>
            </w:pPr>
            <w:r>
              <w:rPr>
                <w:rFonts w:cs="仿宋_GB2312"/>
                <w:kern w:val="0"/>
                <w:sz w:val="21"/>
                <w:szCs w:val="21"/>
              </w:rPr>
              <w:t>年</w:t>
            </w:r>
          </w:p>
        </w:tc>
        <w:tc>
          <w:tcPr>
            <w:tcW w:w="598" w:type="pct"/>
            <w:tcBorders>
              <w:top w:val="single" w:color="auto" w:sz="6" w:space="0"/>
              <w:left w:val="single" w:color="auto" w:sz="6" w:space="0"/>
              <w:bottom w:val="single" w:color="auto" w:sz="6" w:space="0"/>
              <w:right w:val="single" w:color="auto" w:sz="6" w:space="0"/>
            </w:tcBorders>
            <w:vAlign w:val="center"/>
          </w:tcPr>
          <w:p w14:paraId="7580EEB8">
            <w:pPr>
              <w:spacing w:line="260" w:lineRule="exact"/>
              <w:ind w:firstLine="0" w:firstLineChars="0"/>
              <w:jc w:val="center"/>
              <w:rPr>
                <w:rFonts w:cs="仿宋_GB2312"/>
                <w:kern w:val="0"/>
                <w:sz w:val="21"/>
                <w:szCs w:val="21"/>
              </w:rPr>
            </w:pPr>
            <w:r>
              <w:rPr>
                <w:rFonts w:cs="仿宋_GB2312"/>
                <w:kern w:val="0"/>
                <w:sz w:val="21"/>
                <w:szCs w:val="21"/>
              </w:rPr>
              <w:t>11.8</w:t>
            </w:r>
          </w:p>
        </w:tc>
        <w:tc>
          <w:tcPr>
            <w:tcW w:w="941" w:type="pct"/>
            <w:tcBorders>
              <w:top w:val="single" w:color="auto" w:sz="6" w:space="0"/>
              <w:left w:val="single" w:color="auto" w:sz="6" w:space="0"/>
              <w:bottom w:val="single" w:color="auto" w:sz="6" w:space="0"/>
              <w:right w:val="single" w:color="auto" w:sz="6" w:space="0"/>
            </w:tcBorders>
            <w:vAlign w:val="center"/>
          </w:tcPr>
          <w:p w14:paraId="175309C9">
            <w:pPr>
              <w:spacing w:line="260" w:lineRule="exact"/>
              <w:ind w:firstLine="0" w:firstLineChars="0"/>
              <w:jc w:val="center"/>
              <w:rPr>
                <w:rFonts w:cs="仿宋_GB2312"/>
                <w:kern w:val="0"/>
                <w:sz w:val="21"/>
                <w:szCs w:val="21"/>
              </w:rPr>
            </w:pPr>
            <w:r>
              <w:rPr>
                <w:rFonts w:cs="仿宋_GB2312"/>
                <w:kern w:val="0"/>
                <w:sz w:val="21"/>
                <w:szCs w:val="21"/>
              </w:rPr>
              <w:t>11.8</w:t>
            </w:r>
          </w:p>
        </w:tc>
        <w:tc>
          <w:tcPr>
            <w:tcW w:w="644" w:type="pct"/>
            <w:tcBorders>
              <w:top w:val="single" w:color="auto" w:sz="6" w:space="0"/>
              <w:left w:val="single" w:color="auto" w:sz="6" w:space="0"/>
              <w:bottom w:val="single" w:color="auto" w:sz="6" w:space="0"/>
              <w:right w:val="single" w:color="auto" w:sz="6" w:space="0"/>
            </w:tcBorders>
            <w:vAlign w:val="center"/>
          </w:tcPr>
          <w:p w14:paraId="4E7C4D3B">
            <w:pPr>
              <w:spacing w:line="260" w:lineRule="exact"/>
              <w:ind w:firstLine="0" w:firstLineChars="0"/>
              <w:jc w:val="center"/>
              <w:rPr>
                <w:rFonts w:cs="仿宋_GB2312"/>
                <w:kern w:val="0"/>
                <w:sz w:val="21"/>
                <w:szCs w:val="21"/>
              </w:rPr>
            </w:pPr>
            <w:r>
              <w:rPr>
                <w:rFonts w:cs="仿宋_GB2312"/>
                <w:kern w:val="0"/>
                <w:sz w:val="21"/>
                <w:szCs w:val="21"/>
              </w:rPr>
              <w:t>1.8</w:t>
            </w:r>
          </w:p>
        </w:tc>
      </w:tr>
      <w:tr w14:paraId="085E66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right w:val="single" w:color="auto" w:sz="6" w:space="0"/>
            </w:tcBorders>
            <w:vAlign w:val="center"/>
          </w:tcPr>
          <w:p w14:paraId="0A338963">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551AE215">
            <w:pPr>
              <w:spacing w:line="260" w:lineRule="exact"/>
              <w:ind w:firstLine="0" w:firstLineChars="0"/>
              <w:jc w:val="center"/>
              <w:rPr>
                <w:rFonts w:cs="仿宋_GB2312"/>
                <w:kern w:val="0"/>
                <w:sz w:val="21"/>
                <w:szCs w:val="21"/>
              </w:rPr>
            </w:pPr>
            <w:r>
              <w:rPr>
                <w:rFonts w:cs="仿宋_GB2312"/>
                <w:kern w:val="0"/>
                <w:sz w:val="21"/>
                <w:szCs w:val="21"/>
              </w:rPr>
              <w:t>27</w:t>
            </w:r>
          </w:p>
        </w:tc>
        <w:tc>
          <w:tcPr>
            <w:tcW w:w="1476" w:type="pct"/>
            <w:tcBorders>
              <w:top w:val="single" w:color="auto" w:sz="6" w:space="0"/>
              <w:left w:val="single" w:color="auto" w:sz="6" w:space="0"/>
              <w:bottom w:val="single" w:color="auto" w:sz="6" w:space="0"/>
              <w:right w:val="single" w:color="auto" w:sz="6" w:space="0"/>
            </w:tcBorders>
            <w:vAlign w:val="center"/>
          </w:tcPr>
          <w:p w14:paraId="7EAADBE1">
            <w:pPr>
              <w:spacing w:line="260" w:lineRule="exact"/>
              <w:ind w:firstLine="0" w:firstLineChars="0"/>
              <w:jc w:val="center"/>
              <w:rPr>
                <w:rFonts w:cs="仿宋_GB2312"/>
                <w:kern w:val="0"/>
                <w:sz w:val="21"/>
                <w:szCs w:val="21"/>
              </w:rPr>
            </w:pPr>
            <w:r>
              <w:rPr>
                <w:rFonts w:cs="仿宋_GB2312"/>
                <w:kern w:val="0"/>
                <w:sz w:val="21"/>
                <w:szCs w:val="21"/>
              </w:rPr>
              <w:t>每千人口拥有执业</w:t>
            </w:r>
          </w:p>
          <w:p w14:paraId="406ADB52">
            <w:pPr>
              <w:spacing w:line="260" w:lineRule="exact"/>
              <w:ind w:firstLine="0" w:firstLineChars="0"/>
              <w:jc w:val="center"/>
              <w:rPr>
                <w:rFonts w:cs="仿宋_GB2312"/>
                <w:kern w:val="0"/>
                <w:sz w:val="21"/>
                <w:szCs w:val="21"/>
              </w:rPr>
            </w:pPr>
            <w:r>
              <w:rPr>
                <w:rFonts w:cs="仿宋_GB2312"/>
                <w:kern w:val="0"/>
                <w:sz w:val="21"/>
                <w:szCs w:val="21"/>
              </w:rPr>
              <w:t>（助理）医师数</w:t>
            </w:r>
          </w:p>
        </w:tc>
        <w:tc>
          <w:tcPr>
            <w:tcW w:w="513" w:type="pct"/>
            <w:tcBorders>
              <w:top w:val="single" w:color="auto" w:sz="6" w:space="0"/>
              <w:left w:val="single" w:color="auto" w:sz="6" w:space="0"/>
              <w:bottom w:val="single" w:color="auto" w:sz="6" w:space="0"/>
              <w:right w:val="single" w:color="auto" w:sz="6" w:space="0"/>
            </w:tcBorders>
            <w:vAlign w:val="center"/>
          </w:tcPr>
          <w:p w14:paraId="21C7133C">
            <w:pPr>
              <w:spacing w:line="260" w:lineRule="exact"/>
              <w:ind w:firstLine="0" w:firstLineChars="0"/>
              <w:jc w:val="center"/>
              <w:rPr>
                <w:rFonts w:cs="仿宋_GB2312"/>
                <w:kern w:val="0"/>
                <w:sz w:val="21"/>
                <w:szCs w:val="21"/>
              </w:rPr>
            </w:pPr>
            <w:r>
              <w:rPr>
                <w:rFonts w:cs="仿宋_GB2312"/>
                <w:kern w:val="0"/>
                <w:sz w:val="21"/>
                <w:szCs w:val="21"/>
              </w:rPr>
              <w:t>人</w:t>
            </w:r>
          </w:p>
        </w:tc>
        <w:tc>
          <w:tcPr>
            <w:tcW w:w="598" w:type="pct"/>
            <w:tcBorders>
              <w:top w:val="single" w:color="auto" w:sz="6" w:space="0"/>
              <w:left w:val="single" w:color="auto" w:sz="6" w:space="0"/>
              <w:bottom w:val="single" w:color="auto" w:sz="6" w:space="0"/>
              <w:right w:val="single" w:color="auto" w:sz="6" w:space="0"/>
            </w:tcBorders>
            <w:vAlign w:val="center"/>
          </w:tcPr>
          <w:p w14:paraId="3633B6DB">
            <w:pPr>
              <w:spacing w:line="260" w:lineRule="exact"/>
              <w:ind w:firstLine="0" w:firstLineChars="0"/>
              <w:jc w:val="center"/>
              <w:rPr>
                <w:rFonts w:cs="仿宋_GB2312"/>
                <w:kern w:val="0"/>
                <w:sz w:val="21"/>
                <w:szCs w:val="21"/>
              </w:rPr>
            </w:pPr>
            <w:r>
              <w:rPr>
                <w:rFonts w:cs="仿宋_GB2312"/>
                <w:kern w:val="0"/>
                <w:sz w:val="21"/>
                <w:szCs w:val="21"/>
              </w:rPr>
              <w:t>3.8</w:t>
            </w:r>
          </w:p>
        </w:tc>
        <w:tc>
          <w:tcPr>
            <w:tcW w:w="941" w:type="pct"/>
            <w:tcBorders>
              <w:top w:val="single" w:color="auto" w:sz="6" w:space="0"/>
              <w:left w:val="single" w:color="auto" w:sz="6" w:space="0"/>
              <w:bottom w:val="single" w:color="auto" w:sz="6" w:space="0"/>
              <w:right w:val="single" w:color="auto" w:sz="6" w:space="0"/>
            </w:tcBorders>
            <w:vAlign w:val="center"/>
          </w:tcPr>
          <w:p w14:paraId="5248BE55">
            <w:pPr>
              <w:spacing w:line="260" w:lineRule="exact"/>
              <w:ind w:firstLine="0" w:firstLineChars="0"/>
              <w:jc w:val="center"/>
              <w:rPr>
                <w:rFonts w:cs="仿宋_GB2312"/>
                <w:kern w:val="0"/>
                <w:sz w:val="21"/>
                <w:szCs w:val="21"/>
              </w:rPr>
            </w:pPr>
            <w:r>
              <w:rPr>
                <w:rFonts w:cs="仿宋_GB2312"/>
                <w:kern w:val="0"/>
                <w:sz w:val="21"/>
                <w:szCs w:val="21"/>
              </w:rPr>
              <w:t>3.8</w:t>
            </w:r>
          </w:p>
        </w:tc>
        <w:tc>
          <w:tcPr>
            <w:tcW w:w="644" w:type="pct"/>
            <w:tcBorders>
              <w:top w:val="single" w:color="auto" w:sz="6" w:space="0"/>
              <w:left w:val="single" w:color="auto" w:sz="6" w:space="0"/>
              <w:bottom w:val="single" w:color="auto" w:sz="6" w:space="0"/>
              <w:right w:val="single" w:color="auto" w:sz="6" w:space="0"/>
            </w:tcBorders>
            <w:vAlign w:val="center"/>
          </w:tcPr>
          <w:p w14:paraId="44333D1C">
            <w:pPr>
              <w:spacing w:line="260" w:lineRule="exact"/>
              <w:ind w:firstLine="0" w:firstLineChars="0"/>
              <w:jc w:val="center"/>
              <w:rPr>
                <w:rFonts w:cs="仿宋_GB2312"/>
                <w:kern w:val="0"/>
                <w:sz w:val="21"/>
                <w:szCs w:val="21"/>
              </w:rPr>
            </w:pPr>
            <w:r>
              <w:rPr>
                <w:rFonts w:hint="eastAsia" w:cs="仿宋_GB2312"/>
                <w:kern w:val="0"/>
                <w:sz w:val="21"/>
                <w:szCs w:val="21"/>
              </w:rPr>
              <w:t>2</w:t>
            </w:r>
            <w:r>
              <w:rPr>
                <w:rFonts w:cs="仿宋_GB2312"/>
                <w:kern w:val="0"/>
                <w:sz w:val="21"/>
                <w:szCs w:val="21"/>
              </w:rPr>
              <w:t>.3</w:t>
            </w:r>
          </w:p>
        </w:tc>
      </w:tr>
      <w:tr w14:paraId="678C67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0" w:hRule="atLeast"/>
          <w:jc w:val="center"/>
        </w:trPr>
        <w:tc>
          <w:tcPr>
            <w:tcW w:w="414" w:type="pct"/>
            <w:vMerge w:val="continue"/>
            <w:tcBorders>
              <w:left w:val="single" w:color="auto" w:sz="6" w:space="0"/>
              <w:bottom w:val="single" w:color="auto" w:sz="6" w:space="0"/>
              <w:right w:val="single" w:color="auto" w:sz="6" w:space="0"/>
            </w:tcBorders>
            <w:vAlign w:val="center"/>
          </w:tcPr>
          <w:p w14:paraId="35A078B5">
            <w:pPr>
              <w:widowControl/>
              <w:spacing w:line="260" w:lineRule="exact"/>
              <w:ind w:firstLine="0" w:firstLineChars="0"/>
              <w:jc w:val="left"/>
              <w:rPr>
                <w:rFonts w:cs="仿宋_GB2312"/>
                <w:kern w:val="0"/>
                <w:sz w:val="21"/>
                <w:szCs w:val="21"/>
              </w:rPr>
            </w:pPr>
          </w:p>
        </w:tc>
        <w:tc>
          <w:tcPr>
            <w:tcW w:w="414" w:type="pct"/>
            <w:tcBorders>
              <w:top w:val="single" w:color="auto" w:sz="6" w:space="0"/>
              <w:left w:val="single" w:color="auto" w:sz="6" w:space="0"/>
              <w:bottom w:val="single" w:color="auto" w:sz="6" w:space="0"/>
              <w:right w:val="single" w:color="auto" w:sz="6" w:space="0"/>
            </w:tcBorders>
            <w:vAlign w:val="center"/>
          </w:tcPr>
          <w:p w14:paraId="339ECDAC">
            <w:pPr>
              <w:spacing w:line="260" w:lineRule="exact"/>
              <w:ind w:firstLine="0" w:firstLineChars="0"/>
              <w:jc w:val="center"/>
              <w:rPr>
                <w:rFonts w:cs="仿宋_GB2312"/>
                <w:kern w:val="0"/>
                <w:sz w:val="21"/>
                <w:szCs w:val="21"/>
              </w:rPr>
            </w:pPr>
            <w:r>
              <w:rPr>
                <w:rFonts w:cs="仿宋_GB2312"/>
                <w:kern w:val="0"/>
                <w:sz w:val="21"/>
                <w:szCs w:val="21"/>
              </w:rPr>
              <w:t>28</w:t>
            </w:r>
          </w:p>
        </w:tc>
        <w:tc>
          <w:tcPr>
            <w:tcW w:w="1476" w:type="pct"/>
            <w:tcBorders>
              <w:top w:val="single" w:color="auto" w:sz="6" w:space="0"/>
              <w:left w:val="single" w:color="auto" w:sz="6" w:space="0"/>
              <w:bottom w:val="single" w:color="auto" w:sz="6" w:space="0"/>
              <w:right w:val="single" w:color="auto" w:sz="6" w:space="0"/>
            </w:tcBorders>
            <w:vAlign w:val="center"/>
          </w:tcPr>
          <w:p w14:paraId="73F7E77B">
            <w:pPr>
              <w:spacing w:line="260" w:lineRule="exact"/>
              <w:ind w:firstLine="0" w:firstLineChars="0"/>
              <w:jc w:val="center"/>
              <w:rPr>
                <w:rFonts w:cs="仿宋_GB2312"/>
                <w:kern w:val="0"/>
                <w:sz w:val="21"/>
                <w:szCs w:val="21"/>
              </w:rPr>
            </w:pPr>
            <w:r>
              <w:rPr>
                <w:rFonts w:cs="仿宋_GB2312"/>
                <w:kern w:val="0"/>
                <w:sz w:val="21"/>
                <w:szCs w:val="21"/>
              </w:rPr>
              <w:t>城镇调查失业率</w:t>
            </w:r>
          </w:p>
        </w:tc>
        <w:tc>
          <w:tcPr>
            <w:tcW w:w="513" w:type="pct"/>
            <w:tcBorders>
              <w:top w:val="single" w:color="auto" w:sz="6" w:space="0"/>
              <w:left w:val="single" w:color="auto" w:sz="6" w:space="0"/>
              <w:bottom w:val="single" w:color="auto" w:sz="6" w:space="0"/>
              <w:right w:val="single" w:color="auto" w:sz="6" w:space="0"/>
            </w:tcBorders>
            <w:vAlign w:val="center"/>
          </w:tcPr>
          <w:p w14:paraId="5B216258">
            <w:pPr>
              <w:spacing w:line="260" w:lineRule="exact"/>
              <w:ind w:firstLine="0" w:firstLineChars="0"/>
              <w:jc w:val="center"/>
              <w:rPr>
                <w:rFonts w:cs="仿宋_GB2312"/>
                <w:kern w:val="0"/>
                <w:sz w:val="21"/>
                <w:szCs w:val="21"/>
              </w:rPr>
            </w:pPr>
            <w:r>
              <w:rPr>
                <w:rFonts w:cs="仿宋_GB2312"/>
                <w:kern w:val="0"/>
                <w:sz w:val="21"/>
                <w:szCs w:val="21"/>
              </w:rPr>
              <w:t>%</w:t>
            </w:r>
          </w:p>
        </w:tc>
        <w:tc>
          <w:tcPr>
            <w:tcW w:w="598" w:type="pct"/>
            <w:tcBorders>
              <w:top w:val="single" w:color="auto" w:sz="6" w:space="0"/>
              <w:left w:val="single" w:color="auto" w:sz="6" w:space="0"/>
              <w:bottom w:val="single" w:color="auto" w:sz="6" w:space="0"/>
              <w:right w:val="single" w:color="auto" w:sz="6" w:space="0"/>
            </w:tcBorders>
            <w:vAlign w:val="center"/>
          </w:tcPr>
          <w:p w14:paraId="6A10C9F0">
            <w:pPr>
              <w:spacing w:line="260" w:lineRule="exact"/>
              <w:ind w:firstLine="0" w:firstLineChars="0"/>
              <w:jc w:val="center"/>
              <w:rPr>
                <w:rFonts w:cs="仿宋_GB2312"/>
                <w:kern w:val="0"/>
                <w:sz w:val="21"/>
                <w:szCs w:val="21"/>
              </w:rPr>
            </w:pPr>
            <w:r>
              <w:rPr>
                <w:rFonts w:cs="仿宋_GB2312"/>
                <w:kern w:val="0"/>
                <w:sz w:val="21"/>
                <w:szCs w:val="21"/>
              </w:rPr>
              <w:t>3.8</w:t>
            </w:r>
          </w:p>
        </w:tc>
        <w:tc>
          <w:tcPr>
            <w:tcW w:w="941" w:type="pct"/>
            <w:tcBorders>
              <w:top w:val="single" w:color="auto" w:sz="6" w:space="0"/>
              <w:left w:val="single" w:color="auto" w:sz="6" w:space="0"/>
              <w:bottom w:val="single" w:color="auto" w:sz="6" w:space="0"/>
              <w:right w:val="single" w:color="auto" w:sz="6" w:space="0"/>
            </w:tcBorders>
            <w:vAlign w:val="center"/>
          </w:tcPr>
          <w:p w14:paraId="0D5CDE14">
            <w:pPr>
              <w:spacing w:line="260" w:lineRule="exact"/>
              <w:ind w:firstLine="0" w:firstLineChars="0"/>
              <w:jc w:val="center"/>
              <w:rPr>
                <w:rFonts w:cs="仿宋_GB2312"/>
                <w:kern w:val="0"/>
                <w:sz w:val="21"/>
                <w:szCs w:val="21"/>
              </w:rPr>
            </w:pPr>
            <w:r>
              <w:rPr>
                <w:rFonts w:cs="仿宋_GB2312"/>
                <w:kern w:val="0"/>
                <w:sz w:val="21"/>
                <w:szCs w:val="21"/>
              </w:rPr>
              <w:t>3.8</w:t>
            </w:r>
          </w:p>
        </w:tc>
        <w:tc>
          <w:tcPr>
            <w:tcW w:w="644" w:type="pct"/>
            <w:tcBorders>
              <w:top w:val="single" w:color="auto" w:sz="6" w:space="0"/>
              <w:left w:val="single" w:color="auto" w:sz="6" w:space="0"/>
              <w:bottom w:val="single" w:color="auto" w:sz="6" w:space="0"/>
              <w:right w:val="single" w:color="auto" w:sz="6" w:space="0"/>
            </w:tcBorders>
            <w:vAlign w:val="center"/>
          </w:tcPr>
          <w:p w14:paraId="33A17DA6">
            <w:pPr>
              <w:spacing w:line="260" w:lineRule="exact"/>
              <w:ind w:firstLine="0" w:firstLineChars="0"/>
              <w:jc w:val="center"/>
              <w:rPr>
                <w:rFonts w:cs="仿宋_GB2312"/>
                <w:kern w:val="0"/>
                <w:sz w:val="21"/>
                <w:szCs w:val="21"/>
              </w:rPr>
            </w:pPr>
            <w:r>
              <w:rPr>
                <w:rFonts w:hint="eastAsia" w:cs="仿宋_GB2312"/>
                <w:kern w:val="0"/>
                <w:sz w:val="21"/>
                <w:szCs w:val="21"/>
              </w:rPr>
              <w:t>—</w:t>
            </w:r>
          </w:p>
        </w:tc>
      </w:tr>
      <w:bookmarkEnd w:id="29"/>
      <w:bookmarkEnd w:id="30"/>
      <w:bookmarkEnd w:id="31"/>
    </w:tbl>
    <w:p w14:paraId="7303F7F6">
      <w:pPr>
        <w:pStyle w:val="3"/>
        <w:spacing w:before="217" w:after="217"/>
      </w:pPr>
      <w:bookmarkStart w:id="37" w:name="_Toc209112130"/>
      <w:bookmarkStart w:id="38" w:name="_Toc237336644"/>
      <w:r>
        <w:rPr>
          <w:rFonts w:hint="eastAsia"/>
        </w:rPr>
        <w:t>第二节</w:t>
      </w:r>
      <w:r>
        <w:t xml:space="preserve"> </w:t>
      </w:r>
      <w:r>
        <w:rPr>
          <w:rFonts w:hint="eastAsia"/>
        </w:rPr>
        <w:t>“十五五”时期发展</w:t>
      </w:r>
      <w:bookmarkEnd w:id="37"/>
      <w:r>
        <w:rPr>
          <w:rFonts w:hint="eastAsia"/>
        </w:rPr>
        <w:t>面临新机遇与挑战</w:t>
      </w:r>
      <w:bookmarkEnd w:id="38"/>
    </w:p>
    <w:p w14:paraId="41AA5C3A">
      <w:pPr>
        <w:ind w:firstLine="640"/>
      </w:pPr>
      <w:r>
        <w:rPr>
          <w:rFonts w:hint="eastAsia"/>
        </w:rPr>
        <w:t>“十五五”时期，康平县面临的发展环境更加复杂多变，战略机遇和风险挑战并存。</w:t>
      </w:r>
    </w:p>
    <w:p w14:paraId="5419881C">
      <w:pPr>
        <w:ind w:firstLine="643"/>
      </w:pPr>
      <w:r>
        <w:rPr>
          <w:rFonts w:hint="eastAsia"/>
          <w:b/>
        </w:rPr>
        <w:t>从国际看，</w:t>
      </w:r>
      <w:r>
        <w:rPr>
          <w:rFonts w:hint="eastAsia"/>
        </w:rPr>
        <w:t>世界百年未有之大变局加速演进，大国战略博弈进入相持关键期，并向贸易、科技、能源等多领域延伸。全球经济复苏态势复杂，国际贸易保护主义抬头，全球贸易规则面临重塑，影响我国对外贸易和外向型经济发展。科技革命与产业变革加速，人工智能、量子计算、生物技术等新兴产业蓬勃兴起，重塑全球产业格局。传统产业在科技突破驱动下迈向数字化、智能化转型，成为推动经济增长的重要引擎。能源与资源格局重塑，全球能源结构加速向清洁、低碳方向转型，对我国能源安全和资源保障提出更高要求，也为康平县带来了产业转型与动能提升的双重机遇，为全面振兴注入新动能。</w:t>
      </w:r>
    </w:p>
    <w:p w14:paraId="07205F20">
      <w:pPr>
        <w:ind w:firstLine="643"/>
      </w:pPr>
      <w:r>
        <w:rPr>
          <w:rFonts w:hint="eastAsia"/>
          <w:b/>
        </w:rPr>
        <w:t>从国内看，</w:t>
      </w:r>
      <w:r>
        <w:rPr>
          <w:rFonts w:hint="eastAsia"/>
        </w:rPr>
        <w:t>我国经济长期向好的支撑条件和基本趋势没有变，展现出强大活力和韧性。国家更加关注稳定政策连续性、释放内需活力、做好民生保障、化解防范重点领域风险、培育新质生产力等发展方向。这对康平县推动产业结构优化调整，进一步扩内需、促消费，聚焦城乡品质、绿色低碳、智慧治理、民生服务等方面发展提出更高要求。</w:t>
      </w:r>
    </w:p>
    <w:p w14:paraId="5B5C20AB">
      <w:pPr>
        <w:ind w:firstLine="643"/>
      </w:pPr>
      <w:r>
        <w:rPr>
          <w:rFonts w:hint="eastAsia"/>
          <w:b/>
        </w:rPr>
        <w:t>从省市看，</w:t>
      </w:r>
      <w:r>
        <w:rPr>
          <w:rFonts w:hint="eastAsia"/>
        </w:rPr>
        <w:t>党中央高度重视东北振兴、辽宁振兴，习近平总书记多次赴东北调研并召开专题座谈会作出战略指引。辽宁省立足新时代发展需求，奋力谱写中国式现代化辽宁篇章，坚持以科技创新为引领，大力推动战略性新兴产业发展壮大，加快培育新质生产力，为全省高质量发展提供了明确方向与战略支撑。沈阳都市圈已正式获批，形成区域协调发展新格局。沈阳市着力提升在全国面向东北亚全方位开放合作中的战略地位，加快建设东北亚国际化中心城市，创建“国家碳达峰试点城市”、打造“储能之都”“北方氢都”，积极发展新质生产力，为康平县找准发展定位、明晰产业方向、融入省市发展大局创造有利条件。</w:t>
      </w:r>
    </w:p>
    <w:p w14:paraId="1DBCA29C">
      <w:pPr>
        <w:ind w:firstLine="643"/>
      </w:pPr>
      <w:r>
        <w:rPr>
          <w:rFonts w:hint="eastAsia"/>
          <w:b/>
        </w:rPr>
        <w:t>从我县看，</w:t>
      </w:r>
      <w:r>
        <w:rPr>
          <w:rFonts w:hint="eastAsia"/>
        </w:rPr>
        <w:t>经济长期向好的基本面没有改变，新兴产业强势崛起，成功开辟生物化工新赛道。以赛事经济推动全域旅游蓬勃发展，城市建设扎实推进，乡村振兴成效显著，特色农业品牌响亮，宜居宜业水平全面提升。同时也要看到，全县产业结构调整不充分，传统产业转型升级缓慢，产业链不完整，创新能力以及科技创新人才资源基础薄弱，城乡配套设施不均衡等问题仍然存在。</w:t>
      </w:r>
    </w:p>
    <w:p w14:paraId="42D263C1">
      <w:pPr>
        <w:ind w:firstLine="640"/>
      </w:pPr>
      <w:r>
        <w:rPr>
          <w:rFonts w:hint="eastAsia"/>
        </w:rPr>
        <w:t>“十五五”时期，康平县需深刻认识国内外形势变化带来的新挑战，顺应发展形势。立足资源禀赋与产业基础，在谱写中国式现代化辽宁篇章和沈阳东北亚国际化中心城市建设中找准定位和方向，积极融入沈阳都市圈发展格局。聚焦产业能级跃升与区域协同发展，快速推进沈阳生物化工产业园建设，推动绿色能源、生物制造、新材料、精细化工等特色产业高端化、绿色化集群发展，打造</w:t>
      </w:r>
      <w:bookmarkStart w:id="39" w:name="OLE_LINK243"/>
      <w:r>
        <w:rPr>
          <w:rFonts w:hint="eastAsia"/>
        </w:rPr>
        <w:t>东北绿色氢氨醇油</w:t>
      </w:r>
      <w:bookmarkEnd w:id="39"/>
      <w:r>
        <w:rPr>
          <w:rFonts w:hint="eastAsia"/>
        </w:rPr>
        <w:t>重要节点。同时，锚定高质量发展目标，强化科技创新人才培育，深化重点领域改革、扩大对外开放合作水平，加强农业现代化发展，建设现代化人民城市，统筹发展和安全，在奋力推进新时代康平全面振兴中彰显康平速度，创新康平模式，做出康平示范。</w:t>
      </w:r>
    </w:p>
    <w:p w14:paraId="2FFF1321">
      <w:pPr>
        <w:pStyle w:val="2"/>
        <w:spacing w:before="217" w:after="217"/>
        <w:rPr>
          <w:b w:val="0"/>
          <w:bCs/>
        </w:rPr>
      </w:pPr>
      <w:bookmarkStart w:id="40" w:name="_Toc209112131"/>
      <w:bookmarkStart w:id="41" w:name="_Toc237336645"/>
      <w:r>
        <w:rPr>
          <w:rFonts w:hint="eastAsia"/>
          <w:b w:val="0"/>
          <w:bCs/>
        </w:rPr>
        <w:t>第二章</w:t>
      </w:r>
      <w:r>
        <w:rPr>
          <w:b w:val="0"/>
          <w:bCs/>
        </w:rPr>
        <w:t xml:space="preserve"> </w:t>
      </w:r>
      <w:bookmarkEnd w:id="40"/>
      <w:r>
        <w:rPr>
          <w:rFonts w:hint="eastAsia"/>
          <w:b w:val="0"/>
          <w:bCs/>
        </w:rPr>
        <w:t>开启中国式现代化康平实践新篇章</w:t>
      </w:r>
      <w:bookmarkEnd w:id="41"/>
    </w:p>
    <w:p w14:paraId="06B0BF32">
      <w:pPr>
        <w:pStyle w:val="3"/>
        <w:spacing w:before="217" w:after="217"/>
      </w:pPr>
      <w:bookmarkStart w:id="42" w:name="_Toc209112132"/>
      <w:bookmarkStart w:id="43" w:name="_Toc237336646"/>
      <w:r>
        <w:rPr>
          <w:rFonts w:hint="eastAsia"/>
        </w:rPr>
        <w:t>第一节</w:t>
      </w:r>
      <w:r>
        <w:t xml:space="preserve"> </w:t>
      </w:r>
      <w:r>
        <w:rPr>
          <w:rFonts w:hint="eastAsia"/>
        </w:rPr>
        <w:t>指导思想</w:t>
      </w:r>
      <w:bookmarkEnd w:id="42"/>
      <w:bookmarkEnd w:id="43"/>
    </w:p>
    <w:p w14:paraId="187B1811">
      <w:pPr>
        <w:ind w:firstLine="640"/>
      </w:pPr>
      <w:r>
        <w:rPr>
          <w:rFonts w:hint="eastAsia"/>
        </w:rPr>
        <w:t>坚持马克思列宁主义、毛泽东思想、邓小平理论、“三个代表”重要思想、科学发展观，全面贯彻习近平新时代中国特色社会主义思想，深入贯彻党的二十大和二十届历次全会精神，深入学习贯彻习近平总书记关于东北、辽宁全面振兴发展的重要讲话和指示批示精神，统筹推进“五位一体”总体布局，协调推进“四个全面”战略布局，完整准确全面贯彻新发展理念，积极服务融入新发展格局，坚持稳中求进工作总基调，坚持以经济建设为中心，以推动高质量发展为主题，以改革创新为根本动力，以满足人民日益增长的美好生活需要为根本目的，着力固根基、增动能、促转型、提品质，助力沈阳市建设东北亚国际化中心城市，奋力谱写新时代康平高质量发展的绚丽篇章。</w:t>
      </w:r>
    </w:p>
    <w:p w14:paraId="3A28B8B1">
      <w:pPr>
        <w:pStyle w:val="3"/>
        <w:spacing w:before="217" w:after="217"/>
      </w:pPr>
      <w:bookmarkStart w:id="44" w:name="_Toc237336647"/>
      <w:bookmarkStart w:id="45" w:name="_Toc209112133"/>
      <w:r>
        <w:rPr>
          <w:rFonts w:hint="eastAsia"/>
        </w:rPr>
        <w:t>第二节</w:t>
      </w:r>
      <w:r>
        <w:t xml:space="preserve"> </w:t>
      </w:r>
      <w:r>
        <w:rPr>
          <w:rFonts w:hint="eastAsia"/>
        </w:rPr>
        <w:t>基本原则</w:t>
      </w:r>
      <w:bookmarkEnd w:id="44"/>
      <w:bookmarkEnd w:id="45"/>
    </w:p>
    <w:p w14:paraId="42EDEE2C">
      <w:pPr>
        <w:ind w:firstLine="643"/>
      </w:pPr>
      <w:r>
        <w:rPr>
          <w:rFonts w:hint="eastAsia"/>
          <w:b/>
        </w:rPr>
        <w:t>——坚持党的全面领导。</w:t>
      </w:r>
      <w:r>
        <w:rPr>
          <w:rFonts w:hint="eastAsia"/>
        </w:rPr>
        <w:t>坚决维护党中央权威和集中统一领导，将党的领导贯穿于经济</w:t>
      </w:r>
      <w:r>
        <w:rPr>
          <w:rFonts w:hint="eastAsia" w:cs="Times New Roman"/>
          <w:sz w:val="30"/>
          <w:szCs w:val="22"/>
          <w:lang w:bidi="ar"/>
        </w:rPr>
        <w:t>社会发</w:t>
      </w:r>
      <w:r>
        <w:rPr>
          <w:rFonts w:hint="eastAsia"/>
        </w:rPr>
        <w:t>展各方面全过程，确保康平县发展与中央、省、市的决策部署同向同行。不断提高贯彻新发展理念、构建新发展格局的能力和水平，为推进康平县现代化建设凝聚力量。</w:t>
      </w:r>
    </w:p>
    <w:p w14:paraId="118629F5">
      <w:pPr>
        <w:ind w:firstLine="643"/>
      </w:pPr>
      <w:r>
        <w:rPr>
          <w:rFonts w:hint="eastAsia"/>
          <w:b/>
        </w:rPr>
        <w:t>——坚持人民至上。</w:t>
      </w:r>
      <w:r>
        <w:rPr>
          <w:rFonts w:hint="eastAsia"/>
        </w:rPr>
        <w:t>践行以人民为中心的发展思想，把增进群众福祉、促进人的全面发展作为出发点和落脚点。着力解决人民群众急难愁盼问题，让现代化建设成果更多更公平惠及全体人民，筑牢共同富裕坚实基础。</w:t>
      </w:r>
    </w:p>
    <w:p w14:paraId="5C0A8589">
      <w:pPr>
        <w:ind w:firstLine="643"/>
        <w:rPr>
          <w:b/>
        </w:rPr>
      </w:pPr>
      <w:r>
        <w:rPr>
          <w:rFonts w:hint="eastAsia"/>
          <w:b/>
        </w:rPr>
        <w:t>——坚持高质量发展。</w:t>
      </w:r>
      <w:r>
        <w:rPr>
          <w:rFonts w:hint="eastAsia"/>
        </w:rPr>
        <w:t>将高质量发展作为全面建设社会主义现代化康平的首要任务。</w:t>
      </w:r>
      <w:r>
        <w:rPr>
          <w:rFonts w:hint="eastAsia" w:cs="仿宋_GB2312"/>
        </w:rPr>
        <w:t>以新发展理念引领发展，以创新驱动为根本动力，</w:t>
      </w:r>
      <w:r>
        <w:rPr>
          <w:rFonts w:cs="仿宋_GB2312"/>
        </w:rPr>
        <w:t>推动县域经济转型升级，</w:t>
      </w:r>
      <w:r>
        <w:rPr>
          <w:rFonts w:hint="eastAsia" w:cs="仿宋_GB2312"/>
        </w:rPr>
        <w:t>因地制宜</w:t>
      </w:r>
      <w:r>
        <w:rPr>
          <w:rFonts w:hint="eastAsia"/>
        </w:rPr>
        <w:t>发展新质生产力，走出特色化高质量发展新路径。</w:t>
      </w:r>
    </w:p>
    <w:p w14:paraId="5FFAF941">
      <w:pPr>
        <w:ind w:firstLine="643"/>
      </w:pPr>
      <w:r>
        <w:rPr>
          <w:rFonts w:hint="eastAsia"/>
          <w:b/>
        </w:rPr>
        <w:t>——坚持全面深化改革。</w:t>
      </w:r>
      <w:r>
        <w:rPr>
          <w:rFonts w:hint="eastAsia"/>
        </w:rPr>
        <w:t>扎实推进重点领域全面深化改革任务落实，着力破除体制机制障碍，突破发展瓶颈。提升对内对外合作水平，加强与沈阳都市圈产业链、创新链、资金链、人才链深度融合，为康平县振兴突破注入强劲动能。</w:t>
      </w:r>
    </w:p>
    <w:p w14:paraId="0DD53EEA">
      <w:pPr>
        <w:ind w:firstLine="643"/>
      </w:pPr>
      <w:r>
        <w:rPr>
          <w:rFonts w:hint="eastAsia"/>
          <w:b/>
        </w:rPr>
        <w:t>——坚持有效市场和有为政府相结合。</w:t>
      </w:r>
      <w:r>
        <w:rPr>
          <w:rFonts w:hint="eastAsia"/>
        </w:rPr>
        <w:t>充分发挥市场在资源配置中的决定性作用，</w:t>
      </w:r>
      <w:bookmarkStart w:id="46" w:name="OLE_LINK7"/>
      <w:bookmarkStart w:id="47" w:name="OLE_LINK237"/>
      <w:r>
        <w:rPr>
          <w:rFonts w:hint="eastAsia"/>
        </w:rPr>
        <w:t>有效激发市场主体的积极性、主动性和创造性</w:t>
      </w:r>
      <w:bookmarkEnd w:id="46"/>
      <w:bookmarkEnd w:id="47"/>
      <w:r>
        <w:rPr>
          <w:rFonts w:hint="eastAsia"/>
        </w:rPr>
        <w:t>。更好发挥政府作用，坚持有所为、有所不为，进一步转变政府职能、提升服务水平、优化营商环境。</w:t>
      </w:r>
    </w:p>
    <w:p w14:paraId="172D1852">
      <w:pPr>
        <w:ind w:firstLine="643"/>
      </w:pPr>
      <w:r>
        <w:rPr>
          <w:rFonts w:hint="eastAsia"/>
          <w:b/>
        </w:rPr>
        <w:t>——坚持统筹发展和安全。</w:t>
      </w:r>
      <w:r>
        <w:rPr>
          <w:rFonts w:hint="eastAsia"/>
        </w:rPr>
        <w:t>牢牢把握康平县维护国家“五大安全”重要使命，强化底线思维，有效防范化解各类风险，提高城市韧性和应急能力，以高水平安全保障高质量发展，实现发展和安全动态平衡。</w:t>
      </w:r>
    </w:p>
    <w:p w14:paraId="1DA397C1">
      <w:pPr>
        <w:pStyle w:val="3"/>
        <w:spacing w:before="217" w:after="217"/>
      </w:pPr>
      <w:bookmarkStart w:id="48" w:name="_Toc237336648"/>
      <w:r>
        <w:rPr>
          <w:rFonts w:hint="eastAsia"/>
        </w:rPr>
        <w:t>第三节</w:t>
      </w:r>
      <w:r>
        <w:t xml:space="preserve"> </w:t>
      </w:r>
      <w:r>
        <w:rPr>
          <w:rFonts w:hint="eastAsia"/>
        </w:rPr>
        <w:t>发展目标</w:t>
      </w:r>
      <w:bookmarkEnd w:id="48"/>
    </w:p>
    <w:p w14:paraId="25145332">
      <w:pPr>
        <w:ind w:firstLine="640"/>
      </w:pPr>
      <w:bookmarkStart w:id="49" w:name="OLE_LINK270"/>
      <w:bookmarkStart w:id="50" w:name="OLE_LINK271"/>
      <w:bookmarkStart w:id="51" w:name="OLE_LINK103"/>
      <w:bookmarkStart w:id="52" w:name="OLE_LINK102"/>
      <w:bookmarkStart w:id="53" w:name="OLE_LINK104"/>
      <w:bookmarkStart w:id="54" w:name="OLE_LINK14"/>
      <w:bookmarkStart w:id="55" w:name="OLE_LINK146"/>
      <w:bookmarkStart w:id="56" w:name="OLE_LINK147"/>
      <w:r>
        <w:rPr>
          <w:rFonts w:hint="eastAsia"/>
        </w:rPr>
        <w:t>到2</w:t>
      </w:r>
      <w:r>
        <w:t>030</w:t>
      </w:r>
      <w:r>
        <w:rPr>
          <w:rFonts w:hint="eastAsia"/>
        </w:rPr>
        <w:t>年，</w:t>
      </w:r>
      <w:bookmarkEnd w:id="49"/>
      <w:bookmarkEnd w:id="50"/>
      <w:r>
        <w:rPr>
          <w:rFonts w:hint="eastAsia"/>
        </w:rPr>
        <w:t>全县经济实力显著增强，维护国家“五大安全”能力明显提升，全面振兴取得更大突破，全力打造城乡转型发展示范区、生物化工产业集聚区、农文体旅融合典范区，谱写好产业蝶变转型、乡村加速振兴、生态秀美宜人、城市功能完善、人文底蕴浓厚、群众安居乐业的中国式现代化康平新篇章。</w:t>
      </w:r>
    </w:p>
    <w:p w14:paraId="7272EF8D">
      <w:pPr>
        <w:ind w:firstLine="643"/>
        <w:rPr>
          <w:rFonts w:cs="仿宋_GB2312"/>
          <w:szCs w:val="32"/>
        </w:rPr>
      </w:pPr>
      <w:r>
        <w:rPr>
          <w:rFonts w:hint="eastAsia"/>
          <w:b/>
        </w:rPr>
        <w:t>——</w:t>
      </w:r>
      <w:bookmarkStart w:id="57" w:name="OLE_LINK2"/>
      <w:r>
        <w:rPr>
          <w:rFonts w:hint="eastAsia"/>
          <w:b/>
        </w:rPr>
        <w:t>综合经济实力</w:t>
      </w:r>
      <w:bookmarkEnd w:id="51"/>
      <w:bookmarkEnd w:id="52"/>
      <w:bookmarkEnd w:id="53"/>
      <w:bookmarkEnd w:id="54"/>
      <w:r>
        <w:rPr>
          <w:rFonts w:hint="eastAsia"/>
          <w:b/>
        </w:rPr>
        <w:t>更强劲</w:t>
      </w:r>
      <w:bookmarkEnd w:id="57"/>
      <w:r>
        <w:rPr>
          <w:rFonts w:hint="eastAsia"/>
          <w:b/>
        </w:rPr>
        <w:t>。</w:t>
      </w:r>
      <w:r>
        <w:rPr>
          <w:rFonts w:hint="eastAsia"/>
        </w:rPr>
        <w:t>加快驶入新型工业化快车道，以生物化工、新能源、新材料为主导的三大产业蓬勃发展，</w:t>
      </w:r>
      <w:bookmarkStart w:id="58" w:name="OLE_LINK118"/>
      <w:bookmarkStart w:id="59" w:name="OLE_LINK117"/>
      <w:r>
        <w:rPr>
          <w:rFonts w:hint="eastAsia"/>
        </w:rPr>
        <w:t>开发区</w:t>
      </w:r>
      <w:r>
        <w:rPr>
          <w:rFonts w:cs="仿宋_GB2312"/>
          <w:szCs w:val="32"/>
        </w:rPr>
        <w:t>综合发展</w:t>
      </w:r>
      <w:r>
        <w:rPr>
          <w:rFonts w:hint="eastAsia" w:cs="仿宋_GB2312"/>
          <w:szCs w:val="32"/>
        </w:rPr>
        <w:t>水平显著增强</w:t>
      </w:r>
      <w:r>
        <w:rPr>
          <w:rFonts w:hint="eastAsia"/>
        </w:rPr>
        <w:t>，乡镇经济实力稳步壮大</w:t>
      </w:r>
      <w:bookmarkEnd w:id="58"/>
      <w:bookmarkEnd w:id="59"/>
      <w:r>
        <w:rPr>
          <w:rFonts w:hint="eastAsia"/>
        </w:rPr>
        <w:t>。</w:t>
      </w:r>
      <w:bookmarkStart w:id="60" w:name="OLE_LINK276"/>
      <w:bookmarkStart w:id="61" w:name="OLE_LINK277"/>
      <w:r>
        <w:rPr>
          <w:rFonts w:hint="eastAsia"/>
        </w:rPr>
        <w:t>到</w:t>
      </w:r>
      <w:r>
        <w:t>2030</w:t>
      </w:r>
      <w:r>
        <w:rPr>
          <w:rFonts w:hint="eastAsia"/>
        </w:rPr>
        <w:t>年，地区生产总值年均增长</w:t>
      </w:r>
      <w:r>
        <w:t>5.5%</w:t>
      </w:r>
      <w:r>
        <w:rPr>
          <w:rFonts w:hint="eastAsia"/>
        </w:rPr>
        <w:t>左右</w:t>
      </w:r>
      <w:bookmarkStart w:id="62" w:name="OLE_LINK239"/>
      <w:bookmarkStart w:id="63" w:name="OLE_LINK238"/>
      <w:r>
        <w:rPr>
          <w:rFonts w:hint="eastAsia"/>
        </w:rPr>
        <w:t>，</w:t>
      </w:r>
      <w:bookmarkEnd w:id="62"/>
      <w:bookmarkEnd w:id="63"/>
      <w:bookmarkStart w:id="64" w:name="OLE_LINK8"/>
      <w:bookmarkStart w:id="65" w:name="OLE_LINK6"/>
      <w:r>
        <w:rPr>
          <w:rFonts w:hint="eastAsia"/>
        </w:rPr>
        <w:t>规模以上工业总产值实现倍增</w:t>
      </w:r>
      <w:bookmarkEnd w:id="64"/>
      <w:bookmarkEnd w:id="65"/>
      <w:r>
        <w:rPr>
          <w:rFonts w:hint="eastAsia" w:cs="仿宋_GB2312"/>
          <w:szCs w:val="32"/>
        </w:rPr>
        <w:t>。</w:t>
      </w:r>
      <w:bookmarkEnd w:id="60"/>
      <w:bookmarkEnd w:id="61"/>
    </w:p>
    <w:p w14:paraId="25B520EF">
      <w:pPr>
        <w:ind w:firstLine="643"/>
      </w:pPr>
      <w:bookmarkStart w:id="66" w:name="OLE_LINK122"/>
      <w:bookmarkStart w:id="67" w:name="OLE_LINK120"/>
      <w:r>
        <w:rPr>
          <w:rFonts w:hint="eastAsia"/>
          <w:b/>
        </w:rPr>
        <w:t>——</w:t>
      </w:r>
      <w:bookmarkStart w:id="68" w:name="OLE_LINK26"/>
      <w:bookmarkStart w:id="69" w:name="OLE_LINK28"/>
      <w:r>
        <w:rPr>
          <w:rFonts w:hint="eastAsia"/>
          <w:b/>
        </w:rPr>
        <w:t>创新驱动能力更坚实</w:t>
      </w:r>
      <w:bookmarkEnd w:id="66"/>
      <w:bookmarkEnd w:id="67"/>
      <w:bookmarkEnd w:id="68"/>
      <w:bookmarkEnd w:id="69"/>
      <w:r>
        <w:rPr>
          <w:rFonts w:hint="eastAsia"/>
          <w:b/>
        </w:rPr>
        <w:t>。</w:t>
      </w:r>
      <w:bookmarkStart w:id="70" w:name="OLE_LINK125"/>
      <w:bookmarkStart w:id="71" w:name="OLE_LINK126"/>
      <w:bookmarkStart w:id="72" w:name="OLE_LINK25"/>
      <w:bookmarkStart w:id="73" w:name="OLE_LINK24"/>
      <w:r>
        <w:rPr>
          <w:rFonts w:cs="Times New Roman"/>
        </w:rPr>
        <w:t>全面创新</w:t>
      </w:r>
      <w:r>
        <w:rPr>
          <w:rFonts w:hint="eastAsia" w:cs="Times New Roman"/>
        </w:rPr>
        <w:t>的</w:t>
      </w:r>
      <w:r>
        <w:rPr>
          <w:rFonts w:cs="Times New Roman"/>
        </w:rPr>
        <w:t>体制机制更加健全，教育科技人才一体发展成效显著，</w:t>
      </w:r>
      <w:r>
        <w:rPr>
          <w:rFonts w:hint="eastAsia"/>
        </w:rPr>
        <w:t>企业自主创新能力明显提升，</w:t>
      </w:r>
      <w:bookmarkStart w:id="74" w:name="OLE_LINK36"/>
      <w:r>
        <w:rPr>
          <w:rFonts w:hint="eastAsia"/>
        </w:rPr>
        <w:t>产业发展与科技创新深度融合</w:t>
      </w:r>
      <w:bookmarkEnd w:id="70"/>
      <w:bookmarkEnd w:id="71"/>
      <w:bookmarkEnd w:id="74"/>
      <w:r>
        <w:rPr>
          <w:rFonts w:hint="eastAsia"/>
        </w:rPr>
        <w:t>，科技创新成果本地转化率明显提高</w:t>
      </w:r>
      <w:bookmarkEnd w:id="72"/>
      <w:bookmarkEnd w:id="73"/>
      <w:r>
        <w:rPr>
          <w:rFonts w:hint="eastAsia"/>
        </w:rPr>
        <w:t>。到</w:t>
      </w:r>
      <w:r>
        <w:t>2030</w:t>
      </w:r>
      <w:r>
        <w:rPr>
          <w:rFonts w:hint="eastAsia"/>
        </w:rPr>
        <w:t>年，高新技术企业达到</w:t>
      </w:r>
      <w:r>
        <w:t>50</w:t>
      </w:r>
      <w:r>
        <w:rPr>
          <w:rFonts w:hint="eastAsia"/>
        </w:rPr>
        <w:t>家</w:t>
      </w:r>
      <w:r>
        <w:rPr>
          <w:rFonts w:cs="Times New Roman"/>
        </w:rPr>
        <w:t>，技术合同成交额年均增长12%</w:t>
      </w:r>
      <w:r>
        <w:rPr>
          <w:rFonts w:hint="eastAsia"/>
        </w:rPr>
        <w:t>，“智改数转”基本实现全覆盖。</w:t>
      </w:r>
    </w:p>
    <w:p w14:paraId="6EC00814">
      <w:pPr>
        <w:ind w:firstLine="643"/>
        <w:rPr>
          <w:rFonts w:cs="Times New Roman"/>
        </w:rPr>
      </w:pPr>
      <w:bookmarkStart w:id="75" w:name="OLE_LINK186"/>
      <w:bookmarkStart w:id="76" w:name="OLE_LINK185"/>
      <w:r>
        <w:rPr>
          <w:rFonts w:hint="eastAsia"/>
          <w:b/>
        </w:rPr>
        <w:t>——</w:t>
      </w:r>
      <w:bookmarkStart w:id="77" w:name="OLE_LINK50"/>
      <w:bookmarkStart w:id="78" w:name="OLE_LINK37"/>
      <w:r>
        <w:rPr>
          <w:rFonts w:hint="eastAsia"/>
          <w:b/>
        </w:rPr>
        <w:t>改革开放成效更突显</w:t>
      </w:r>
      <w:bookmarkEnd w:id="75"/>
      <w:bookmarkEnd w:id="76"/>
      <w:bookmarkEnd w:id="77"/>
      <w:bookmarkEnd w:id="78"/>
      <w:r>
        <w:rPr>
          <w:rFonts w:hint="eastAsia"/>
          <w:b/>
        </w:rPr>
        <w:t>。</w:t>
      </w:r>
      <w:r>
        <w:rPr>
          <w:rFonts w:hint="eastAsia"/>
        </w:rPr>
        <w:t>推动改革全面发力、多点突破、纵深推进</w:t>
      </w:r>
      <w:bookmarkStart w:id="79" w:name="OLE_LINK52"/>
      <w:bookmarkStart w:id="80" w:name="OLE_LINK51"/>
      <w:r>
        <w:rPr>
          <w:rFonts w:hint="eastAsia"/>
        </w:rPr>
        <w:t>，重点领域和关键环节改革取得实质性成果</w:t>
      </w:r>
      <w:bookmarkEnd w:id="79"/>
      <w:bookmarkEnd w:id="80"/>
      <w:r>
        <w:rPr>
          <w:rFonts w:hint="eastAsia"/>
        </w:rPr>
        <w:t>。有效市场和有为政府更好结合，打造营商环境全省县域标杆。开放水平显著提升，</w:t>
      </w:r>
      <w:bookmarkStart w:id="81" w:name="OLE_LINK58"/>
      <w:bookmarkStart w:id="82" w:name="OLE_LINK55"/>
      <w:r>
        <w:rPr>
          <w:rFonts w:hint="eastAsia"/>
        </w:rPr>
        <w:t>积极</w:t>
      </w:r>
      <w:bookmarkEnd w:id="81"/>
      <w:bookmarkEnd w:id="82"/>
      <w:r>
        <w:rPr>
          <w:rFonts w:hint="eastAsia"/>
        </w:rPr>
        <w:t>融入沈阳都市圈和沈阳东北亚国际化中心城市建设，打造辽吉蒙结合部区域发展中心。</w:t>
      </w:r>
      <w:bookmarkStart w:id="83" w:name="OLE_LINK235"/>
    </w:p>
    <w:bookmarkEnd w:id="83"/>
    <w:p w14:paraId="40DABF5F">
      <w:pPr>
        <w:ind w:firstLine="643"/>
        <w:rPr>
          <w:rFonts w:cs="Times New Roman"/>
        </w:rPr>
      </w:pPr>
      <w:bookmarkStart w:id="84" w:name="OLE_LINK38"/>
      <w:bookmarkStart w:id="85" w:name="OLE_LINK41"/>
      <w:r>
        <w:rPr>
          <w:rFonts w:hint="eastAsia"/>
          <w:b/>
        </w:rPr>
        <w:t>——</w:t>
      </w:r>
      <w:bookmarkStart w:id="86" w:name="OLE_LINK61"/>
      <w:bookmarkStart w:id="87" w:name="OLE_LINK63"/>
      <w:r>
        <w:rPr>
          <w:rFonts w:cs="Times New Roman"/>
          <w:b/>
          <w:bCs/>
        </w:rPr>
        <w:t>社会文明程度</w:t>
      </w:r>
      <w:r>
        <w:rPr>
          <w:rFonts w:hint="eastAsia" w:cs="Times New Roman"/>
          <w:b/>
          <w:bCs/>
        </w:rPr>
        <w:t>更醇厚</w:t>
      </w:r>
      <w:bookmarkEnd w:id="86"/>
      <w:bookmarkEnd w:id="87"/>
      <w:r>
        <w:rPr>
          <w:rFonts w:cs="Times New Roman"/>
          <w:b/>
          <w:bCs/>
        </w:rPr>
        <w:t>。</w:t>
      </w:r>
      <w:r>
        <w:rPr>
          <w:rFonts w:cs="Times New Roman"/>
        </w:rPr>
        <w:t>文化自信更加坚定，社会主义核心价值观广泛践行，公民素质全面提升，群众精神文化生活更加丰富多彩，</w:t>
      </w:r>
      <w:r>
        <w:rPr>
          <w:rFonts w:hint="eastAsia" w:cs="Times New Roman"/>
        </w:rPr>
        <w:t>中国作家“深入生活</w:t>
      </w:r>
      <w:r>
        <w:rPr>
          <w:rFonts w:hint="eastAsia" w:cs="仿宋_GB2312"/>
          <w:bCs/>
          <w:szCs w:val="32"/>
        </w:rPr>
        <w:t>、</w:t>
      </w:r>
      <w:r>
        <w:rPr>
          <w:rFonts w:hint="eastAsia" w:cs="Times New Roman"/>
        </w:rPr>
        <w:t>扎根人民”新时代文学实践点效能充分放大，辽金满蒙等</w:t>
      </w:r>
      <w:r>
        <w:rPr>
          <w:rFonts w:cs="Times New Roman"/>
        </w:rPr>
        <w:t>地域文化标识</w:t>
      </w:r>
      <w:r>
        <w:rPr>
          <w:rFonts w:hint="eastAsia" w:cs="Times New Roman"/>
        </w:rPr>
        <w:t>更加鲜明</w:t>
      </w:r>
      <w:r>
        <w:rPr>
          <w:rFonts w:cs="Times New Roman"/>
        </w:rPr>
        <w:t>，文化软实力</w:t>
      </w:r>
      <w:r>
        <w:rPr>
          <w:rFonts w:hint="eastAsia" w:cs="Times New Roman"/>
        </w:rPr>
        <w:t>和影响力</w:t>
      </w:r>
      <w:r>
        <w:rPr>
          <w:rFonts w:cs="Times New Roman"/>
        </w:rPr>
        <w:t>持续提</w:t>
      </w:r>
      <w:r>
        <w:rPr>
          <w:rFonts w:hint="eastAsia" w:cs="Times New Roman"/>
        </w:rPr>
        <w:t>升，在全市率先打造全国县级文明城市。</w:t>
      </w:r>
    </w:p>
    <w:p w14:paraId="43B14780">
      <w:pPr>
        <w:ind w:firstLine="643"/>
      </w:pPr>
      <w:r>
        <w:rPr>
          <w:rFonts w:hint="eastAsia"/>
          <w:b/>
        </w:rPr>
        <w:t>——</w:t>
      </w:r>
      <w:bookmarkStart w:id="88" w:name="OLE_LINK64"/>
      <w:bookmarkStart w:id="89" w:name="OLE_LINK65"/>
      <w:r>
        <w:rPr>
          <w:rFonts w:hint="eastAsia"/>
          <w:b/>
        </w:rPr>
        <w:t>美丽康平底色更</w:t>
      </w:r>
      <w:bookmarkEnd w:id="84"/>
      <w:bookmarkEnd w:id="85"/>
      <w:r>
        <w:rPr>
          <w:rFonts w:hint="eastAsia"/>
          <w:b/>
        </w:rPr>
        <w:t>鲜明</w:t>
      </w:r>
      <w:bookmarkEnd w:id="88"/>
      <w:bookmarkEnd w:id="89"/>
      <w:r>
        <w:rPr>
          <w:rFonts w:hint="eastAsia"/>
          <w:b/>
        </w:rPr>
        <w:t>。</w:t>
      </w:r>
      <w:bookmarkStart w:id="90" w:name="OLE_LINK129"/>
      <w:bookmarkStart w:id="91" w:name="OLE_LINK138"/>
      <w:bookmarkStart w:id="92" w:name="OLE_LINK139"/>
      <w:bookmarkStart w:id="93" w:name="OLE_LINK130"/>
      <w:r>
        <w:rPr>
          <w:rFonts w:hint="eastAsia"/>
        </w:rPr>
        <w:t>碳达峰目标如期实现，建设清洁能源大县，绿色生产生活方式基本形成，主要资源利用效率稳步提升，主要污染物排放总量持续降低，以科尔沁沙地歼灭战、卧龙湖生态修复为重点，推动生态系统多样性稳定性持续提升，全域生态安全屏障进一步筑牢。</w:t>
      </w:r>
    </w:p>
    <w:bookmarkEnd w:id="55"/>
    <w:bookmarkEnd w:id="56"/>
    <w:bookmarkEnd w:id="90"/>
    <w:bookmarkEnd w:id="91"/>
    <w:bookmarkEnd w:id="92"/>
    <w:bookmarkEnd w:id="93"/>
    <w:p w14:paraId="1406B0F5">
      <w:pPr>
        <w:ind w:firstLine="643"/>
        <w:rPr>
          <w:rFonts w:cs="Times New Roman"/>
        </w:rPr>
      </w:pPr>
      <w:r>
        <w:rPr>
          <w:rFonts w:hint="eastAsia"/>
          <w:b/>
        </w:rPr>
        <w:t>——人民生活品质更美好。</w:t>
      </w:r>
      <w:bookmarkStart w:id="94" w:name="OLE_LINK88"/>
      <w:r>
        <w:rPr>
          <w:rFonts w:hint="eastAsia" w:cs="Times New Roman"/>
        </w:rPr>
        <w:t>高质量充分就业取得新进展，居民收入增长和经济增长同步，多层次社会保障体系日趋健全，“一老一小”服务保障水平持续提升，适应人口变化的优质均衡基本公共服务供给体系加速构建，城乡基础设施更加完善，人民群众获得感、幸福感、安全感持续增强</w:t>
      </w:r>
      <w:r>
        <w:rPr>
          <w:rFonts w:cs="Times New Roman"/>
        </w:rPr>
        <w:t>。</w:t>
      </w:r>
    </w:p>
    <w:p w14:paraId="3FCAA077">
      <w:pPr>
        <w:ind w:firstLine="643"/>
        <w:rPr>
          <w:rFonts w:cs="Times New Roman"/>
        </w:rPr>
      </w:pPr>
      <w:r>
        <w:rPr>
          <w:rFonts w:hint="eastAsia"/>
          <w:b/>
        </w:rPr>
        <w:t>——平安康平建设更</w:t>
      </w:r>
      <w:bookmarkEnd w:id="94"/>
      <w:r>
        <w:rPr>
          <w:rFonts w:hint="eastAsia"/>
          <w:b/>
        </w:rPr>
        <w:t>扎实。</w:t>
      </w:r>
      <w:bookmarkStart w:id="95" w:name="OLE_LINK67"/>
      <w:bookmarkStart w:id="96" w:name="OLE_LINK66"/>
      <w:r>
        <w:rPr>
          <w:rFonts w:cs="Times New Roman"/>
        </w:rPr>
        <w:t>维护国家安全的统筹协调机制更加健全，</w:t>
      </w:r>
      <w:r>
        <w:rPr>
          <w:rFonts w:hint="eastAsia" w:cs="Times New Roman"/>
        </w:rPr>
        <w:t>防范化解重大风险</w:t>
      </w:r>
      <w:r>
        <w:rPr>
          <w:rFonts w:cs="Times New Roman"/>
        </w:rPr>
        <w:t>能力、突发公共事件应急能力、自然灾害防御能力等大幅提升，本质安全水平持续增强，社会治理和公共安全治理水平明显提高，统筹发展和安全能力全面加强</w:t>
      </w:r>
      <w:bookmarkEnd w:id="95"/>
      <w:bookmarkEnd w:id="96"/>
      <w:r>
        <w:rPr>
          <w:rFonts w:cs="Times New Roman"/>
        </w:rPr>
        <w:t>。</w:t>
      </w:r>
    </w:p>
    <w:p w14:paraId="70C86801">
      <w:pPr>
        <w:ind w:firstLine="640"/>
        <w:rPr>
          <w:rFonts w:cs="Times New Roman"/>
        </w:rPr>
      </w:pPr>
      <w:r>
        <w:rPr>
          <w:rFonts w:hint="eastAsia" w:cs="Times New Roman"/>
        </w:rPr>
        <w:t>在此基础上再奋斗五年，到2</w:t>
      </w:r>
      <w:r>
        <w:rPr>
          <w:rFonts w:cs="Times New Roman"/>
        </w:rPr>
        <w:t>035</w:t>
      </w:r>
      <w:r>
        <w:rPr>
          <w:rFonts w:hint="eastAsia" w:ascii="仿宋_GB2312" w:hAnsi="仿宋_GB2312" w:cs="仿宋_GB2312"/>
        </w:rPr>
        <w:t>年实现全县经济实力、开放水平、治理效能大幅跃升，</w:t>
      </w:r>
      <w:r>
        <w:rPr>
          <w:rFonts w:hint="eastAsia" w:cs="Times New Roman"/>
        </w:rPr>
        <w:t>城市辐射力、带动力、影响力明显增强，人民生活更加幸福美好，与全国、全省、全市一道基本实现社会主义现代化，实现新时代全面振兴。</w:t>
      </w:r>
    </w:p>
    <w:p w14:paraId="458895E8">
      <w:pPr>
        <w:pStyle w:val="25"/>
        <w:numPr>
          <w:ilvl w:val="0"/>
          <w:numId w:val="1"/>
        </w:numPr>
        <w:ind w:left="0" w:firstLine="0" w:firstLineChars="0"/>
        <w:jc w:val="center"/>
        <w:outlineLvl w:val="3"/>
        <w:rPr>
          <w:rFonts w:eastAsia="楷体"/>
          <w:b/>
          <w:kern w:val="0"/>
          <w:sz w:val="28"/>
          <w:szCs w:val="28"/>
        </w:rPr>
      </w:pPr>
      <w:bookmarkStart w:id="97" w:name="OLE_LINK168"/>
      <w:bookmarkStart w:id="98" w:name="OLE_LINK9"/>
      <w:bookmarkStart w:id="99" w:name="OLE_LINK167"/>
      <w:r>
        <w:rPr>
          <w:rFonts w:hint="eastAsia" w:eastAsia="楷体"/>
          <w:b/>
          <w:kern w:val="0"/>
          <w:sz w:val="28"/>
          <w:szCs w:val="28"/>
        </w:rPr>
        <w:t>康平县“十五五”经济社会发展主要指标表</w:t>
      </w:r>
    </w:p>
    <w:tbl>
      <w:tblPr>
        <w:tblStyle w:val="16"/>
        <w:tblW w:w="52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8"/>
        <w:gridCol w:w="797"/>
        <w:gridCol w:w="3703"/>
        <w:gridCol w:w="1300"/>
        <w:gridCol w:w="1547"/>
        <w:gridCol w:w="882"/>
      </w:tblGrid>
      <w:tr w14:paraId="38D31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jc w:val="center"/>
        </w:trPr>
        <w:tc>
          <w:tcPr>
            <w:tcW w:w="370" w:type="pct"/>
            <w:tcBorders>
              <w:top w:val="single" w:color="auto" w:sz="4" w:space="0"/>
              <w:left w:val="single" w:color="auto" w:sz="4" w:space="0"/>
              <w:bottom w:val="single" w:color="auto" w:sz="4" w:space="0"/>
              <w:right w:val="single" w:color="auto" w:sz="4" w:space="0"/>
            </w:tcBorders>
            <w:vAlign w:val="center"/>
          </w:tcPr>
          <w:p w14:paraId="6C20C5F6">
            <w:pPr>
              <w:spacing w:line="260" w:lineRule="exact"/>
              <w:ind w:firstLine="0" w:firstLineChars="0"/>
              <w:jc w:val="center"/>
              <w:rPr>
                <w:b/>
                <w:sz w:val="21"/>
                <w:szCs w:val="21"/>
              </w:rPr>
            </w:pPr>
            <w:bookmarkStart w:id="100" w:name="_Hlk206493069"/>
            <w:bookmarkStart w:id="101" w:name="OLE_LINK1"/>
            <w:bookmarkStart w:id="102" w:name="OLE_LINK31"/>
            <w:bookmarkStart w:id="103" w:name="OLE_LINK30"/>
            <w:r>
              <w:rPr>
                <w:rFonts w:hint="eastAsia"/>
                <w:b/>
                <w:sz w:val="21"/>
                <w:szCs w:val="21"/>
              </w:rPr>
              <w:t>序号</w:t>
            </w:r>
          </w:p>
        </w:tc>
        <w:tc>
          <w:tcPr>
            <w:tcW w:w="448" w:type="pct"/>
            <w:tcBorders>
              <w:top w:val="single" w:color="auto" w:sz="4" w:space="0"/>
              <w:left w:val="single" w:color="auto" w:sz="4" w:space="0"/>
              <w:bottom w:val="single" w:color="auto" w:sz="4" w:space="0"/>
              <w:right w:val="single" w:color="auto" w:sz="4" w:space="0"/>
            </w:tcBorders>
            <w:vAlign w:val="center"/>
          </w:tcPr>
          <w:p w14:paraId="3D526883">
            <w:pPr>
              <w:spacing w:line="260" w:lineRule="exact"/>
              <w:ind w:firstLine="0" w:firstLineChars="0"/>
              <w:jc w:val="center"/>
              <w:rPr>
                <w:b/>
                <w:sz w:val="21"/>
                <w:szCs w:val="21"/>
              </w:rPr>
            </w:pPr>
            <w:r>
              <w:rPr>
                <w:rFonts w:hint="eastAsia"/>
                <w:b/>
                <w:sz w:val="21"/>
                <w:szCs w:val="21"/>
              </w:rPr>
              <w:t>领域</w:t>
            </w:r>
          </w:p>
        </w:tc>
        <w:tc>
          <w:tcPr>
            <w:tcW w:w="2082" w:type="pct"/>
            <w:tcBorders>
              <w:top w:val="single" w:color="auto" w:sz="4" w:space="0"/>
              <w:left w:val="single" w:color="auto" w:sz="4" w:space="0"/>
              <w:bottom w:val="single" w:color="auto" w:sz="4" w:space="0"/>
              <w:right w:val="single" w:color="auto" w:sz="4" w:space="0"/>
            </w:tcBorders>
            <w:vAlign w:val="center"/>
          </w:tcPr>
          <w:p w14:paraId="31548C70">
            <w:pPr>
              <w:spacing w:line="260" w:lineRule="exact"/>
              <w:ind w:firstLine="0" w:firstLineChars="0"/>
              <w:jc w:val="center"/>
              <w:rPr>
                <w:b/>
                <w:sz w:val="21"/>
                <w:szCs w:val="21"/>
              </w:rPr>
            </w:pPr>
            <w:r>
              <w:rPr>
                <w:rFonts w:hint="eastAsia"/>
                <w:b/>
                <w:sz w:val="21"/>
                <w:szCs w:val="21"/>
              </w:rPr>
              <w:t>指标名称</w:t>
            </w:r>
          </w:p>
        </w:tc>
        <w:tc>
          <w:tcPr>
            <w:tcW w:w="731" w:type="pct"/>
            <w:tcBorders>
              <w:top w:val="single" w:color="auto" w:sz="4" w:space="0"/>
              <w:left w:val="single" w:color="auto" w:sz="4" w:space="0"/>
              <w:bottom w:val="single" w:color="auto" w:sz="4" w:space="0"/>
              <w:right w:val="single" w:color="auto" w:sz="4" w:space="0"/>
            </w:tcBorders>
            <w:vAlign w:val="center"/>
          </w:tcPr>
          <w:p w14:paraId="5E9DB01C">
            <w:pPr>
              <w:spacing w:line="260" w:lineRule="exact"/>
              <w:ind w:firstLine="0" w:firstLineChars="0"/>
              <w:jc w:val="center"/>
              <w:rPr>
                <w:b/>
                <w:sz w:val="21"/>
                <w:szCs w:val="21"/>
              </w:rPr>
            </w:pPr>
            <w:r>
              <w:rPr>
                <w:b/>
                <w:sz w:val="21"/>
                <w:szCs w:val="21"/>
              </w:rPr>
              <w:t>2025</w:t>
            </w:r>
            <w:r>
              <w:rPr>
                <w:rFonts w:hint="eastAsia"/>
                <w:b/>
                <w:sz w:val="21"/>
                <w:szCs w:val="21"/>
              </w:rPr>
              <w:t>年</w:t>
            </w:r>
          </w:p>
        </w:tc>
        <w:tc>
          <w:tcPr>
            <w:tcW w:w="870" w:type="pct"/>
            <w:tcBorders>
              <w:top w:val="single" w:color="auto" w:sz="4" w:space="0"/>
              <w:left w:val="single" w:color="auto" w:sz="4" w:space="0"/>
              <w:bottom w:val="single" w:color="auto" w:sz="4" w:space="0"/>
              <w:right w:val="single" w:color="auto" w:sz="4" w:space="0"/>
            </w:tcBorders>
            <w:vAlign w:val="center"/>
          </w:tcPr>
          <w:p w14:paraId="0EE6EA84">
            <w:pPr>
              <w:spacing w:line="260" w:lineRule="exact"/>
              <w:ind w:firstLine="0" w:firstLineChars="0"/>
              <w:jc w:val="center"/>
              <w:rPr>
                <w:b/>
                <w:sz w:val="21"/>
                <w:szCs w:val="21"/>
              </w:rPr>
            </w:pPr>
            <w:r>
              <w:rPr>
                <w:rFonts w:hint="eastAsia"/>
                <w:b/>
                <w:sz w:val="21"/>
                <w:szCs w:val="21"/>
              </w:rPr>
              <w:t>2</w:t>
            </w:r>
            <w:r>
              <w:rPr>
                <w:b/>
                <w:sz w:val="21"/>
                <w:szCs w:val="21"/>
              </w:rPr>
              <w:t>030</w:t>
            </w:r>
            <w:r>
              <w:rPr>
                <w:rFonts w:hint="eastAsia"/>
                <w:b/>
                <w:sz w:val="21"/>
                <w:szCs w:val="21"/>
              </w:rPr>
              <w:t>年</w:t>
            </w:r>
          </w:p>
        </w:tc>
        <w:tc>
          <w:tcPr>
            <w:tcW w:w="496" w:type="pct"/>
            <w:tcBorders>
              <w:top w:val="single" w:color="auto" w:sz="4" w:space="0"/>
              <w:left w:val="single" w:color="auto" w:sz="4" w:space="0"/>
              <w:bottom w:val="single" w:color="auto" w:sz="4" w:space="0"/>
              <w:right w:val="single" w:color="auto" w:sz="4" w:space="0"/>
            </w:tcBorders>
            <w:vAlign w:val="center"/>
          </w:tcPr>
          <w:p w14:paraId="63DDF860">
            <w:pPr>
              <w:spacing w:line="260" w:lineRule="exact"/>
              <w:ind w:firstLine="0" w:firstLineChars="0"/>
              <w:jc w:val="center"/>
              <w:rPr>
                <w:b/>
                <w:sz w:val="21"/>
                <w:szCs w:val="21"/>
              </w:rPr>
            </w:pPr>
            <w:r>
              <w:rPr>
                <w:rFonts w:hint="eastAsia"/>
                <w:b/>
                <w:sz w:val="21"/>
                <w:szCs w:val="21"/>
              </w:rPr>
              <w:t>属性</w:t>
            </w:r>
          </w:p>
        </w:tc>
      </w:tr>
      <w:bookmarkEnd w:id="100"/>
      <w:tr w14:paraId="525CF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360124A5">
            <w:pPr>
              <w:spacing w:line="260" w:lineRule="exact"/>
              <w:ind w:firstLine="0" w:firstLineChars="0"/>
              <w:jc w:val="center"/>
              <w:rPr>
                <w:sz w:val="21"/>
                <w:szCs w:val="21"/>
              </w:rPr>
            </w:pPr>
            <w:bookmarkStart w:id="104" w:name="_Hlk207539187"/>
            <w:r>
              <w:rPr>
                <w:sz w:val="21"/>
                <w:szCs w:val="21"/>
              </w:rPr>
              <w:t>1</w:t>
            </w:r>
          </w:p>
        </w:tc>
        <w:tc>
          <w:tcPr>
            <w:tcW w:w="448" w:type="pct"/>
            <w:vMerge w:val="restart"/>
            <w:tcBorders>
              <w:top w:val="single" w:color="auto" w:sz="4" w:space="0"/>
              <w:left w:val="single" w:color="auto" w:sz="4" w:space="0"/>
              <w:right w:val="single" w:color="auto" w:sz="4" w:space="0"/>
            </w:tcBorders>
            <w:vAlign w:val="center"/>
          </w:tcPr>
          <w:p w14:paraId="28B35D32">
            <w:pPr>
              <w:spacing w:line="260" w:lineRule="exact"/>
              <w:ind w:firstLine="0" w:firstLineChars="0"/>
              <w:jc w:val="center"/>
              <w:rPr>
                <w:sz w:val="21"/>
                <w:szCs w:val="21"/>
              </w:rPr>
            </w:pPr>
            <w:r>
              <w:rPr>
                <w:rFonts w:hint="eastAsia"/>
                <w:sz w:val="21"/>
                <w:szCs w:val="21"/>
              </w:rPr>
              <w:t>经济发展</w:t>
            </w:r>
          </w:p>
        </w:tc>
        <w:tc>
          <w:tcPr>
            <w:tcW w:w="2082" w:type="pct"/>
            <w:tcBorders>
              <w:top w:val="single" w:color="auto" w:sz="4" w:space="0"/>
              <w:left w:val="single" w:color="auto" w:sz="4" w:space="0"/>
              <w:bottom w:val="single" w:color="auto" w:sz="4" w:space="0"/>
              <w:right w:val="single" w:color="auto" w:sz="4" w:space="0"/>
            </w:tcBorders>
            <w:vAlign w:val="center"/>
          </w:tcPr>
          <w:p w14:paraId="2920894A">
            <w:pPr>
              <w:spacing w:line="260" w:lineRule="exact"/>
              <w:ind w:firstLine="0" w:firstLineChars="0"/>
              <w:jc w:val="center"/>
              <w:rPr>
                <w:sz w:val="21"/>
                <w:szCs w:val="21"/>
              </w:rPr>
            </w:pPr>
            <w:r>
              <w:rPr>
                <w:rFonts w:hint="eastAsia"/>
                <w:sz w:val="21"/>
                <w:szCs w:val="21"/>
              </w:rPr>
              <w:t>地区生产总值</w:t>
            </w:r>
            <w:bookmarkStart w:id="105" w:name="OLE_LINK143"/>
            <w:bookmarkStart w:id="106" w:name="OLE_LINK163"/>
            <w:r>
              <w:rPr>
                <w:rFonts w:hint="eastAsia"/>
                <w:sz w:val="21"/>
                <w:szCs w:val="21"/>
              </w:rPr>
              <w:t>增长（</w:t>
            </w:r>
            <w:r>
              <w:rPr>
                <w:sz w:val="21"/>
                <w:szCs w:val="21"/>
              </w:rPr>
              <w:t>%</w:t>
            </w:r>
            <w:r>
              <w:rPr>
                <w:rFonts w:hint="eastAsia"/>
                <w:sz w:val="21"/>
                <w:szCs w:val="21"/>
              </w:rPr>
              <w:t>）</w:t>
            </w:r>
            <w:bookmarkEnd w:id="105"/>
            <w:bookmarkEnd w:id="106"/>
          </w:p>
        </w:tc>
        <w:tc>
          <w:tcPr>
            <w:tcW w:w="731" w:type="pct"/>
            <w:tcBorders>
              <w:top w:val="single" w:color="auto" w:sz="4" w:space="0"/>
              <w:left w:val="single" w:color="auto" w:sz="4" w:space="0"/>
              <w:bottom w:val="single" w:color="auto" w:sz="4" w:space="0"/>
              <w:right w:val="single" w:color="auto" w:sz="4" w:space="0"/>
            </w:tcBorders>
            <w:vAlign w:val="center"/>
          </w:tcPr>
          <w:p w14:paraId="500D8CD7">
            <w:pPr>
              <w:spacing w:line="260" w:lineRule="exact"/>
              <w:ind w:firstLine="0" w:firstLineChars="0"/>
              <w:jc w:val="center"/>
              <w:rPr>
                <w:rFonts w:hint="default" w:eastAsia="仿宋_GB2312"/>
                <w:sz w:val="21"/>
                <w:szCs w:val="21"/>
                <w:lang w:val="en-US" w:eastAsia="zh-CN"/>
              </w:rPr>
            </w:pPr>
            <w:r>
              <w:rPr>
                <w:rFonts w:hint="eastAsia"/>
                <w:sz w:val="21"/>
                <w:szCs w:val="21"/>
              </w:rPr>
              <w:t>年均增速</w:t>
            </w:r>
            <w:r>
              <w:rPr>
                <w:rFonts w:hint="eastAsia"/>
                <w:sz w:val="21"/>
                <w:szCs w:val="21"/>
                <w:lang w:val="en-US" w:eastAsia="zh-CN"/>
              </w:rPr>
              <w:t>4.2</w:t>
            </w:r>
          </w:p>
        </w:tc>
        <w:tc>
          <w:tcPr>
            <w:tcW w:w="870" w:type="pct"/>
            <w:tcBorders>
              <w:top w:val="single" w:color="auto" w:sz="4" w:space="0"/>
              <w:left w:val="single" w:color="auto" w:sz="4" w:space="0"/>
              <w:bottom w:val="single" w:color="auto" w:sz="4" w:space="0"/>
              <w:right w:val="single" w:color="auto" w:sz="4" w:space="0"/>
            </w:tcBorders>
            <w:vAlign w:val="center"/>
          </w:tcPr>
          <w:p w14:paraId="63B4E28B">
            <w:pPr>
              <w:spacing w:line="260" w:lineRule="exact"/>
              <w:ind w:firstLine="0" w:firstLineChars="0"/>
              <w:jc w:val="center"/>
              <w:rPr>
                <w:sz w:val="21"/>
                <w:szCs w:val="21"/>
              </w:rPr>
            </w:pPr>
            <w:r>
              <w:rPr>
                <w:rFonts w:hint="eastAsia"/>
                <w:sz w:val="21"/>
                <w:szCs w:val="21"/>
              </w:rPr>
              <w:t>年均增速</w:t>
            </w:r>
          </w:p>
          <w:p w14:paraId="66AD069B">
            <w:pPr>
              <w:spacing w:line="260" w:lineRule="exact"/>
              <w:ind w:firstLine="0" w:firstLineChars="0"/>
              <w:jc w:val="center"/>
              <w:rPr>
                <w:sz w:val="21"/>
                <w:szCs w:val="21"/>
              </w:rPr>
            </w:pPr>
            <w:r>
              <w:rPr>
                <w:sz w:val="21"/>
                <w:szCs w:val="21"/>
              </w:rPr>
              <w:t>5.5</w:t>
            </w:r>
          </w:p>
        </w:tc>
        <w:tc>
          <w:tcPr>
            <w:tcW w:w="496" w:type="pct"/>
            <w:tcBorders>
              <w:top w:val="single" w:color="auto" w:sz="4" w:space="0"/>
              <w:left w:val="single" w:color="auto" w:sz="4" w:space="0"/>
              <w:bottom w:val="single" w:color="auto" w:sz="4" w:space="0"/>
              <w:right w:val="single" w:color="auto" w:sz="4" w:space="0"/>
            </w:tcBorders>
            <w:vAlign w:val="center"/>
          </w:tcPr>
          <w:p w14:paraId="4E60210A">
            <w:pPr>
              <w:spacing w:line="260" w:lineRule="exact"/>
              <w:ind w:firstLine="0" w:firstLineChars="0"/>
              <w:jc w:val="center"/>
              <w:rPr>
                <w:sz w:val="21"/>
                <w:szCs w:val="21"/>
              </w:rPr>
            </w:pPr>
            <w:r>
              <w:rPr>
                <w:rFonts w:hint="eastAsia"/>
                <w:sz w:val="21"/>
                <w:szCs w:val="21"/>
              </w:rPr>
              <w:t>预期性</w:t>
            </w:r>
          </w:p>
        </w:tc>
      </w:tr>
      <w:tr w14:paraId="56E2B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jc w:val="center"/>
        </w:trPr>
        <w:tc>
          <w:tcPr>
            <w:tcW w:w="370" w:type="pct"/>
            <w:tcBorders>
              <w:top w:val="single" w:color="auto" w:sz="4" w:space="0"/>
              <w:left w:val="single" w:color="auto" w:sz="4" w:space="0"/>
              <w:bottom w:val="single" w:color="auto" w:sz="4" w:space="0"/>
              <w:right w:val="single" w:color="auto" w:sz="4" w:space="0"/>
            </w:tcBorders>
            <w:vAlign w:val="center"/>
          </w:tcPr>
          <w:p w14:paraId="7CBCC0BC">
            <w:pPr>
              <w:spacing w:line="260" w:lineRule="exact"/>
              <w:ind w:firstLine="0" w:firstLineChars="0"/>
              <w:jc w:val="center"/>
              <w:rPr>
                <w:sz w:val="21"/>
                <w:szCs w:val="21"/>
              </w:rPr>
            </w:pPr>
            <w:bookmarkStart w:id="107" w:name="_Hlk212121183"/>
            <w:r>
              <w:rPr>
                <w:rFonts w:hint="eastAsia"/>
                <w:sz w:val="21"/>
                <w:szCs w:val="21"/>
              </w:rPr>
              <w:t>2</w:t>
            </w:r>
          </w:p>
        </w:tc>
        <w:tc>
          <w:tcPr>
            <w:tcW w:w="448" w:type="pct"/>
            <w:vMerge w:val="continue"/>
            <w:tcBorders>
              <w:left w:val="single" w:color="auto" w:sz="4" w:space="0"/>
              <w:right w:val="single" w:color="auto" w:sz="4" w:space="0"/>
            </w:tcBorders>
            <w:vAlign w:val="center"/>
          </w:tcPr>
          <w:p w14:paraId="1A2E2641">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1824902A">
            <w:pPr>
              <w:spacing w:line="260" w:lineRule="exact"/>
              <w:ind w:firstLine="0" w:firstLineChars="0"/>
              <w:jc w:val="center"/>
              <w:rPr>
                <w:sz w:val="21"/>
                <w:szCs w:val="21"/>
              </w:rPr>
            </w:pPr>
            <w:r>
              <w:rPr>
                <w:rFonts w:hint="eastAsia"/>
                <w:sz w:val="21"/>
                <w:szCs w:val="21"/>
              </w:rPr>
              <w:t>规模以上工业总产值（亿元）</w:t>
            </w:r>
          </w:p>
        </w:tc>
        <w:tc>
          <w:tcPr>
            <w:tcW w:w="731" w:type="pct"/>
            <w:tcBorders>
              <w:top w:val="single" w:color="auto" w:sz="4" w:space="0"/>
              <w:left w:val="single" w:color="auto" w:sz="4" w:space="0"/>
              <w:bottom w:val="single" w:color="auto" w:sz="4" w:space="0"/>
              <w:right w:val="single" w:color="auto" w:sz="4" w:space="0"/>
            </w:tcBorders>
            <w:vAlign w:val="center"/>
          </w:tcPr>
          <w:p w14:paraId="5DAAD1B5">
            <w:pPr>
              <w:spacing w:line="260" w:lineRule="exact"/>
              <w:ind w:firstLine="0" w:firstLineChars="0"/>
              <w:jc w:val="center"/>
              <w:rPr>
                <w:sz w:val="21"/>
                <w:szCs w:val="21"/>
              </w:rPr>
            </w:pPr>
            <w:r>
              <w:rPr>
                <w:sz w:val="21"/>
                <w:szCs w:val="21"/>
              </w:rPr>
              <w:t>49.1</w:t>
            </w:r>
          </w:p>
        </w:tc>
        <w:tc>
          <w:tcPr>
            <w:tcW w:w="870" w:type="pct"/>
            <w:tcBorders>
              <w:top w:val="single" w:color="auto" w:sz="4" w:space="0"/>
              <w:left w:val="single" w:color="auto" w:sz="4" w:space="0"/>
              <w:bottom w:val="single" w:color="auto" w:sz="4" w:space="0"/>
              <w:right w:val="single" w:color="auto" w:sz="4" w:space="0"/>
            </w:tcBorders>
            <w:vAlign w:val="center"/>
          </w:tcPr>
          <w:p w14:paraId="133E74D2">
            <w:pPr>
              <w:spacing w:line="260" w:lineRule="exact"/>
              <w:ind w:firstLine="0" w:firstLineChars="0"/>
              <w:jc w:val="center"/>
              <w:rPr>
                <w:sz w:val="21"/>
                <w:szCs w:val="21"/>
              </w:rPr>
            </w:pPr>
            <w:r>
              <w:rPr>
                <w:sz w:val="21"/>
                <w:szCs w:val="21"/>
              </w:rPr>
              <w:t>110</w:t>
            </w:r>
          </w:p>
        </w:tc>
        <w:tc>
          <w:tcPr>
            <w:tcW w:w="496" w:type="pct"/>
            <w:tcBorders>
              <w:top w:val="single" w:color="auto" w:sz="4" w:space="0"/>
              <w:left w:val="single" w:color="auto" w:sz="4" w:space="0"/>
              <w:bottom w:val="single" w:color="auto" w:sz="4" w:space="0"/>
              <w:right w:val="single" w:color="auto" w:sz="4" w:space="0"/>
            </w:tcBorders>
            <w:vAlign w:val="center"/>
          </w:tcPr>
          <w:p w14:paraId="5B808BF5">
            <w:pPr>
              <w:spacing w:line="260" w:lineRule="exact"/>
              <w:ind w:firstLine="0" w:firstLineChars="0"/>
              <w:jc w:val="center"/>
              <w:rPr>
                <w:sz w:val="21"/>
                <w:szCs w:val="21"/>
              </w:rPr>
            </w:pPr>
            <w:r>
              <w:rPr>
                <w:rFonts w:hint="eastAsia"/>
                <w:sz w:val="21"/>
                <w:szCs w:val="21"/>
              </w:rPr>
              <w:t>预期性</w:t>
            </w:r>
          </w:p>
        </w:tc>
      </w:tr>
      <w:bookmarkEnd w:id="107"/>
      <w:tr w14:paraId="589C3E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0FC0F614">
            <w:pPr>
              <w:spacing w:line="260" w:lineRule="exact"/>
              <w:ind w:firstLine="0" w:firstLineChars="0"/>
              <w:jc w:val="center"/>
              <w:rPr>
                <w:sz w:val="21"/>
                <w:szCs w:val="21"/>
              </w:rPr>
            </w:pPr>
            <w:r>
              <w:rPr>
                <w:sz w:val="21"/>
                <w:szCs w:val="21"/>
              </w:rPr>
              <w:t>3</w:t>
            </w:r>
          </w:p>
        </w:tc>
        <w:tc>
          <w:tcPr>
            <w:tcW w:w="448" w:type="pct"/>
            <w:vMerge w:val="continue"/>
            <w:tcBorders>
              <w:left w:val="single" w:color="auto" w:sz="4" w:space="0"/>
              <w:right w:val="single" w:color="auto" w:sz="4" w:space="0"/>
            </w:tcBorders>
            <w:vAlign w:val="center"/>
          </w:tcPr>
          <w:p w14:paraId="393D44FB">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31197AB3">
            <w:pPr>
              <w:spacing w:line="260" w:lineRule="exact"/>
              <w:ind w:firstLine="0" w:firstLineChars="0"/>
              <w:jc w:val="center"/>
              <w:rPr>
                <w:sz w:val="21"/>
                <w:szCs w:val="21"/>
              </w:rPr>
            </w:pPr>
            <w:r>
              <w:rPr>
                <w:rFonts w:hint="eastAsia"/>
                <w:sz w:val="21"/>
                <w:szCs w:val="21"/>
              </w:rPr>
              <w:t>开发区税收收入（亿元）</w:t>
            </w:r>
          </w:p>
        </w:tc>
        <w:tc>
          <w:tcPr>
            <w:tcW w:w="731" w:type="pct"/>
            <w:tcBorders>
              <w:top w:val="single" w:color="auto" w:sz="4" w:space="0"/>
              <w:left w:val="single" w:color="auto" w:sz="4" w:space="0"/>
              <w:bottom w:val="single" w:color="auto" w:sz="4" w:space="0"/>
              <w:right w:val="single" w:color="auto" w:sz="4" w:space="0"/>
            </w:tcBorders>
            <w:vAlign w:val="center"/>
          </w:tcPr>
          <w:p w14:paraId="76D922C8">
            <w:pPr>
              <w:spacing w:line="260" w:lineRule="exact"/>
              <w:ind w:firstLine="0" w:firstLineChars="0"/>
              <w:jc w:val="center"/>
              <w:rPr>
                <w:sz w:val="21"/>
                <w:szCs w:val="21"/>
              </w:rPr>
            </w:pPr>
            <w:r>
              <w:rPr>
                <w:sz w:val="21"/>
                <w:szCs w:val="21"/>
              </w:rPr>
              <w:t>2.32</w:t>
            </w:r>
          </w:p>
        </w:tc>
        <w:tc>
          <w:tcPr>
            <w:tcW w:w="870" w:type="pct"/>
            <w:tcBorders>
              <w:top w:val="single" w:color="auto" w:sz="4" w:space="0"/>
              <w:left w:val="single" w:color="auto" w:sz="4" w:space="0"/>
              <w:bottom w:val="single" w:color="auto" w:sz="4" w:space="0"/>
              <w:right w:val="single" w:color="auto" w:sz="4" w:space="0"/>
            </w:tcBorders>
            <w:vAlign w:val="center"/>
          </w:tcPr>
          <w:p w14:paraId="4A803DEF">
            <w:pPr>
              <w:spacing w:line="260" w:lineRule="exact"/>
              <w:ind w:firstLine="0" w:firstLineChars="0"/>
              <w:jc w:val="center"/>
              <w:rPr>
                <w:sz w:val="21"/>
                <w:szCs w:val="21"/>
              </w:rPr>
            </w:pPr>
            <w:r>
              <w:rPr>
                <w:sz w:val="21"/>
                <w:szCs w:val="21"/>
              </w:rPr>
              <w:t>6.36</w:t>
            </w:r>
          </w:p>
        </w:tc>
        <w:tc>
          <w:tcPr>
            <w:tcW w:w="496" w:type="pct"/>
            <w:tcBorders>
              <w:top w:val="single" w:color="auto" w:sz="4" w:space="0"/>
              <w:left w:val="single" w:color="auto" w:sz="4" w:space="0"/>
              <w:bottom w:val="single" w:color="auto" w:sz="4" w:space="0"/>
              <w:right w:val="single" w:color="auto" w:sz="4" w:space="0"/>
            </w:tcBorders>
            <w:vAlign w:val="center"/>
          </w:tcPr>
          <w:p w14:paraId="2DE0991C">
            <w:pPr>
              <w:spacing w:line="260" w:lineRule="exact"/>
              <w:ind w:firstLine="0" w:firstLineChars="0"/>
              <w:jc w:val="center"/>
              <w:rPr>
                <w:sz w:val="21"/>
                <w:szCs w:val="21"/>
              </w:rPr>
            </w:pPr>
            <w:r>
              <w:rPr>
                <w:rFonts w:hint="eastAsia"/>
                <w:sz w:val="21"/>
                <w:szCs w:val="21"/>
              </w:rPr>
              <w:t>预期性</w:t>
            </w:r>
          </w:p>
        </w:tc>
      </w:tr>
      <w:tr w14:paraId="06B7D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0EC5DF80">
            <w:pPr>
              <w:spacing w:line="260" w:lineRule="exact"/>
              <w:ind w:firstLine="0" w:firstLineChars="0"/>
              <w:jc w:val="center"/>
              <w:rPr>
                <w:sz w:val="21"/>
                <w:szCs w:val="21"/>
              </w:rPr>
            </w:pPr>
            <w:bookmarkStart w:id="108" w:name="_Hlk208394688"/>
            <w:r>
              <w:rPr>
                <w:sz w:val="21"/>
                <w:szCs w:val="21"/>
              </w:rPr>
              <w:t>4</w:t>
            </w:r>
          </w:p>
        </w:tc>
        <w:tc>
          <w:tcPr>
            <w:tcW w:w="448" w:type="pct"/>
            <w:vMerge w:val="continue"/>
            <w:tcBorders>
              <w:left w:val="single" w:color="auto" w:sz="4" w:space="0"/>
              <w:right w:val="single" w:color="auto" w:sz="4" w:space="0"/>
            </w:tcBorders>
            <w:vAlign w:val="center"/>
          </w:tcPr>
          <w:p w14:paraId="58B21E10">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08FFB50B">
            <w:pPr>
              <w:spacing w:line="260" w:lineRule="exact"/>
              <w:ind w:firstLine="0" w:firstLineChars="0"/>
              <w:jc w:val="center"/>
              <w:rPr>
                <w:sz w:val="21"/>
                <w:szCs w:val="21"/>
              </w:rPr>
            </w:pPr>
            <w:r>
              <w:rPr>
                <w:rFonts w:hint="eastAsia"/>
                <w:sz w:val="21"/>
                <w:szCs w:val="21"/>
              </w:rPr>
              <w:t>常住人口城镇化率（</w:t>
            </w:r>
            <w:r>
              <w:rPr>
                <w:sz w:val="21"/>
                <w:szCs w:val="21"/>
              </w:rPr>
              <w:t>%</w:t>
            </w:r>
            <w:r>
              <w:rPr>
                <w:rFonts w:hint="eastAsia"/>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6C37E6A9">
            <w:pPr>
              <w:spacing w:line="260" w:lineRule="exact"/>
              <w:ind w:firstLine="0" w:firstLineChars="0"/>
              <w:jc w:val="center"/>
              <w:rPr>
                <w:sz w:val="21"/>
                <w:szCs w:val="21"/>
              </w:rPr>
            </w:pPr>
            <w:r>
              <w:rPr>
                <w:sz w:val="21"/>
                <w:szCs w:val="21"/>
              </w:rPr>
              <w:t>35</w:t>
            </w:r>
          </w:p>
        </w:tc>
        <w:tc>
          <w:tcPr>
            <w:tcW w:w="870" w:type="pct"/>
            <w:tcBorders>
              <w:top w:val="single" w:color="auto" w:sz="4" w:space="0"/>
              <w:left w:val="single" w:color="auto" w:sz="4" w:space="0"/>
              <w:bottom w:val="single" w:color="auto" w:sz="4" w:space="0"/>
              <w:right w:val="single" w:color="auto" w:sz="4" w:space="0"/>
            </w:tcBorders>
            <w:vAlign w:val="center"/>
          </w:tcPr>
          <w:p w14:paraId="3DD3ED1B">
            <w:pPr>
              <w:spacing w:line="260" w:lineRule="exact"/>
              <w:ind w:firstLine="0" w:firstLineChars="0"/>
              <w:jc w:val="center"/>
              <w:rPr>
                <w:sz w:val="21"/>
                <w:szCs w:val="21"/>
              </w:rPr>
            </w:pPr>
            <w:r>
              <w:rPr>
                <w:sz w:val="21"/>
                <w:szCs w:val="21"/>
              </w:rPr>
              <w:t>45</w:t>
            </w:r>
          </w:p>
        </w:tc>
        <w:tc>
          <w:tcPr>
            <w:tcW w:w="496" w:type="pct"/>
            <w:tcBorders>
              <w:top w:val="single" w:color="auto" w:sz="4" w:space="0"/>
              <w:left w:val="single" w:color="auto" w:sz="4" w:space="0"/>
              <w:bottom w:val="single" w:color="auto" w:sz="4" w:space="0"/>
              <w:right w:val="single" w:color="auto" w:sz="4" w:space="0"/>
            </w:tcBorders>
            <w:vAlign w:val="center"/>
          </w:tcPr>
          <w:p w14:paraId="0F0B73C5">
            <w:pPr>
              <w:spacing w:line="260" w:lineRule="exact"/>
              <w:ind w:firstLine="0" w:firstLineChars="0"/>
              <w:jc w:val="center"/>
              <w:rPr>
                <w:sz w:val="21"/>
                <w:szCs w:val="21"/>
              </w:rPr>
            </w:pPr>
            <w:r>
              <w:rPr>
                <w:rFonts w:hint="eastAsia"/>
                <w:sz w:val="21"/>
                <w:szCs w:val="21"/>
              </w:rPr>
              <w:t>预期性</w:t>
            </w:r>
          </w:p>
        </w:tc>
      </w:tr>
      <w:bookmarkEnd w:id="108"/>
      <w:tr w14:paraId="2B18DA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231281E9">
            <w:pPr>
              <w:spacing w:line="260" w:lineRule="exact"/>
              <w:ind w:firstLine="0" w:firstLineChars="0"/>
              <w:jc w:val="center"/>
              <w:rPr>
                <w:sz w:val="21"/>
                <w:szCs w:val="21"/>
              </w:rPr>
            </w:pPr>
            <w:r>
              <w:rPr>
                <w:sz w:val="21"/>
                <w:szCs w:val="21"/>
              </w:rPr>
              <w:t>5</w:t>
            </w:r>
          </w:p>
        </w:tc>
        <w:tc>
          <w:tcPr>
            <w:tcW w:w="448" w:type="pct"/>
            <w:vMerge w:val="continue"/>
            <w:tcBorders>
              <w:left w:val="single" w:color="auto" w:sz="4" w:space="0"/>
              <w:right w:val="single" w:color="auto" w:sz="4" w:space="0"/>
            </w:tcBorders>
            <w:vAlign w:val="center"/>
          </w:tcPr>
          <w:p w14:paraId="67692CF0">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140423E8">
            <w:pPr>
              <w:spacing w:line="260" w:lineRule="exact"/>
              <w:ind w:firstLine="0" w:firstLineChars="0"/>
              <w:jc w:val="center"/>
              <w:rPr>
                <w:sz w:val="21"/>
                <w:szCs w:val="21"/>
              </w:rPr>
            </w:pPr>
            <w:r>
              <w:rPr>
                <w:rFonts w:hint="eastAsia"/>
                <w:sz w:val="21"/>
                <w:szCs w:val="21"/>
              </w:rPr>
              <w:t>社会消费品零售总额（亿元）</w:t>
            </w:r>
          </w:p>
        </w:tc>
        <w:tc>
          <w:tcPr>
            <w:tcW w:w="731" w:type="pct"/>
            <w:tcBorders>
              <w:top w:val="single" w:color="auto" w:sz="4" w:space="0"/>
              <w:left w:val="single" w:color="auto" w:sz="4" w:space="0"/>
              <w:bottom w:val="single" w:color="auto" w:sz="4" w:space="0"/>
              <w:right w:val="single" w:color="auto" w:sz="4" w:space="0"/>
            </w:tcBorders>
            <w:vAlign w:val="center"/>
          </w:tcPr>
          <w:p w14:paraId="1BC4BB59">
            <w:pPr>
              <w:spacing w:line="260" w:lineRule="exact"/>
              <w:ind w:firstLine="0" w:firstLineChars="0"/>
              <w:jc w:val="center"/>
              <w:rPr>
                <w:sz w:val="21"/>
                <w:szCs w:val="21"/>
              </w:rPr>
            </w:pPr>
            <w:r>
              <w:rPr>
                <w:kern w:val="0"/>
                <w:sz w:val="21"/>
                <w:szCs w:val="21"/>
              </w:rPr>
              <w:t>33</w:t>
            </w:r>
          </w:p>
        </w:tc>
        <w:tc>
          <w:tcPr>
            <w:tcW w:w="870" w:type="pct"/>
            <w:tcBorders>
              <w:top w:val="single" w:color="auto" w:sz="4" w:space="0"/>
              <w:left w:val="single" w:color="auto" w:sz="4" w:space="0"/>
              <w:bottom w:val="single" w:color="auto" w:sz="4" w:space="0"/>
              <w:right w:val="single" w:color="auto" w:sz="4" w:space="0"/>
            </w:tcBorders>
            <w:vAlign w:val="center"/>
          </w:tcPr>
          <w:p w14:paraId="2FECF754">
            <w:pPr>
              <w:spacing w:line="260" w:lineRule="exact"/>
              <w:ind w:firstLine="0" w:firstLineChars="0"/>
              <w:jc w:val="center"/>
              <w:rPr>
                <w:sz w:val="21"/>
                <w:szCs w:val="21"/>
              </w:rPr>
            </w:pPr>
            <w:r>
              <w:rPr>
                <w:kern w:val="0"/>
                <w:sz w:val="21"/>
                <w:szCs w:val="21"/>
              </w:rPr>
              <w:t>44.4</w:t>
            </w:r>
          </w:p>
        </w:tc>
        <w:tc>
          <w:tcPr>
            <w:tcW w:w="496" w:type="pct"/>
            <w:tcBorders>
              <w:top w:val="single" w:color="auto" w:sz="4" w:space="0"/>
              <w:left w:val="single" w:color="auto" w:sz="4" w:space="0"/>
              <w:bottom w:val="single" w:color="auto" w:sz="4" w:space="0"/>
              <w:right w:val="single" w:color="auto" w:sz="4" w:space="0"/>
            </w:tcBorders>
            <w:vAlign w:val="center"/>
          </w:tcPr>
          <w:p w14:paraId="4E4C0FAD">
            <w:pPr>
              <w:spacing w:line="260" w:lineRule="exact"/>
              <w:ind w:firstLine="0" w:firstLineChars="0"/>
              <w:jc w:val="center"/>
              <w:rPr>
                <w:sz w:val="21"/>
                <w:szCs w:val="21"/>
              </w:rPr>
            </w:pPr>
            <w:r>
              <w:rPr>
                <w:rFonts w:hint="eastAsia"/>
                <w:sz w:val="21"/>
                <w:szCs w:val="21"/>
              </w:rPr>
              <w:t>预期性</w:t>
            </w:r>
          </w:p>
        </w:tc>
      </w:tr>
      <w:tr w14:paraId="750A9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642DF7CE">
            <w:pPr>
              <w:spacing w:line="260" w:lineRule="exact"/>
              <w:ind w:firstLine="0" w:firstLineChars="0"/>
              <w:jc w:val="center"/>
              <w:rPr>
                <w:sz w:val="21"/>
                <w:szCs w:val="21"/>
              </w:rPr>
            </w:pPr>
            <w:r>
              <w:rPr>
                <w:sz w:val="21"/>
                <w:szCs w:val="21"/>
              </w:rPr>
              <w:t>6</w:t>
            </w:r>
          </w:p>
        </w:tc>
        <w:tc>
          <w:tcPr>
            <w:tcW w:w="448" w:type="pct"/>
            <w:vMerge w:val="continue"/>
            <w:tcBorders>
              <w:left w:val="single" w:color="auto" w:sz="4" w:space="0"/>
              <w:right w:val="single" w:color="auto" w:sz="4" w:space="0"/>
            </w:tcBorders>
            <w:vAlign w:val="center"/>
          </w:tcPr>
          <w:p w14:paraId="3B84C4B8">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6F8B5033">
            <w:pPr>
              <w:spacing w:line="260" w:lineRule="exact"/>
              <w:ind w:firstLine="0" w:firstLineChars="0"/>
              <w:jc w:val="center"/>
              <w:rPr>
                <w:sz w:val="21"/>
                <w:szCs w:val="21"/>
              </w:rPr>
            </w:pPr>
            <w:r>
              <w:rPr>
                <w:rFonts w:hint="eastAsia"/>
                <w:sz w:val="21"/>
                <w:szCs w:val="21"/>
              </w:rPr>
              <w:t>外贸进出口总额（亿元）</w:t>
            </w:r>
          </w:p>
        </w:tc>
        <w:tc>
          <w:tcPr>
            <w:tcW w:w="731" w:type="pct"/>
            <w:tcBorders>
              <w:top w:val="single" w:color="auto" w:sz="4" w:space="0"/>
              <w:left w:val="single" w:color="auto" w:sz="4" w:space="0"/>
              <w:bottom w:val="single" w:color="auto" w:sz="4" w:space="0"/>
              <w:right w:val="single" w:color="auto" w:sz="4" w:space="0"/>
            </w:tcBorders>
            <w:vAlign w:val="center"/>
          </w:tcPr>
          <w:p w14:paraId="247C32C9">
            <w:pPr>
              <w:spacing w:line="260" w:lineRule="exact"/>
              <w:ind w:firstLine="0" w:firstLineChars="0"/>
              <w:jc w:val="center"/>
              <w:rPr>
                <w:sz w:val="21"/>
                <w:szCs w:val="21"/>
              </w:rPr>
            </w:pPr>
            <w:r>
              <w:rPr>
                <w:kern w:val="0"/>
                <w:sz w:val="21"/>
                <w:szCs w:val="21"/>
              </w:rPr>
              <w:t>0.52</w:t>
            </w:r>
          </w:p>
        </w:tc>
        <w:tc>
          <w:tcPr>
            <w:tcW w:w="870" w:type="pct"/>
            <w:tcBorders>
              <w:top w:val="single" w:color="auto" w:sz="4" w:space="0"/>
              <w:left w:val="single" w:color="auto" w:sz="4" w:space="0"/>
              <w:bottom w:val="single" w:color="auto" w:sz="4" w:space="0"/>
              <w:right w:val="single" w:color="auto" w:sz="4" w:space="0"/>
            </w:tcBorders>
            <w:vAlign w:val="center"/>
          </w:tcPr>
          <w:p w14:paraId="585E38A7">
            <w:pPr>
              <w:spacing w:line="260" w:lineRule="exact"/>
              <w:ind w:firstLine="0" w:firstLineChars="0"/>
              <w:jc w:val="center"/>
              <w:rPr>
                <w:sz w:val="21"/>
                <w:szCs w:val="21"/>
              </w:rPr>
            </w:pPr>
            <w:r>
              <w:rPr>
                <w:kern w:val="0"/>
                <w:sz w:val="21"/>
                <w:szCs w:val="21"/>
              </w:rPr>
              <w:t>0.66</w:t>
            </w:r>
          </w:p>
        </w:tc>
        <w:tc>
          <w:tcPr>
            <w:tcW w:w="496" w:type="pct"/>
            <w:tcBorders>
              <w:top w:val="single" w:color="auto" w:sz="4" w:space="0"/>
              <w:left w:val="single" w:color="auto" w:sz="4" w:space="0"/>
              <w:bottom w:val="single" w:color="auto" w:sz="4" w:space="0"/>
              <w:right w:val="single" w:color="auto" w:sz="4" w:space="0"/>
            </w:tcBorders>
            <w:vAlign w:val="center"/>
          </w:tcPr>
          <w:p w14:paraId="3CCE9051">
            <w:pPr>
              <w:spacing w:line="260" w:lineRule="exact"/>
              <w:ind w:firstLine="0" w:firstLineChars="0"/>
              <w:jc w:val="center"/>
              <w:rPr>
                <w:sz w:val="21"/>
                <w:szCs w:val="21"/>
              </w:rPr>
            </w:pPr>
            <w:r>
              <w:rPr>
                <w:rFonts w:hint="eastAsia"/>
                <w:sz w:val="21"/>
                <w:szCs w:val="21"/>
              </w:rPr>
              <w:t>预期性</w:t>
            </w:r>
          </w:p>
        </w:tc>
      </w:tr>
      <w:tr w14:paraId="676F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06F33695">
            <w:pPr>
              <w:spacing w:line="260" w:lineRule="exact"/>
              <w:ind w:firstLine="0" w:firstLineChars="0"/>
              <w:jc w:val="center"/>
              <w:rPr>
                <w:sz w:val="21"/>
                <w:szCs w:val="21"/>
              </w:rPr>
            </w:pPr>
            <w:r>
              <w:rPr>
                <w:sz w:val="21"/>
                <w:szCs w:val="21"/>
              </w:rPr>
              <w:t>7</w:t>
            </w:r>
          </w:p>
        </w:tc>
        <w:tc>
          <w:tcPr>
            <w:tcW w:w="448" w:type="pct"/>
            <w:vMerge w:val="continue"/>
            <w:tcBorders>
              <w:left w:val="single" w:color="auto" w:sz="4" w:space="0"/>
              <w:right w:val="single" w:color="auto" w:sz="4" w:space="0"/>
            </w:tcBorders>
            <w:vAlign w:val="center"/>
          </w:tcPr>
          <w:p w14:paraId="2E8476DD">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A782690">
            <w:pPr>
              <w:spacing w:line="260" w:lineRule="exact"/>
              <w:ind w:firstLine="0" w:firstLineChars="0"/>
              <w:jc w:val="center"/>
              <w:rPr>
                <w:sz w:val="21"/>
                <w:szCs w:val="21"/>
              </w:rPr>
            </w:pPr>
            <w:r>
              <w:rPr>
                <w:rFonts w:hint="eastAsia"/>
                <w:sz w:val="21"/>
                <w:szCs w:val="21"/>
              </w:rPr>
              <w:t>实际利用外资（万美元）</w:t>
            </w:r>
          </w:p>
        </w:tc>
        <w:tc>
          <w:tcPr>
            <w:tcW w:w="731" w:type="pct"/>
            <w:tcBorders>
              <w:top w:val="single" w:color="auto" w:sz="4" w:space="0"/>
              <w:left w:val="single" w:color="auto" w:sz="4" w:space="0"/>
              <w:bottom w:val="single" w:color="auto" w:sz="4" w:space="0"/>
              <w:right w:val="single" w:color="auto" w:sz="4" w:space="0"/>
            </w:tcBorders>
            <w:vAlign w:val="center"/>
          </w:tcPr>
          <w:p w14:paraId="7371ACBE">
            <w:pPr>
              <w:spacing w:line="260" w:lineRule="exact"/>
              <w:ind w:firstLine="0" w:firstLineChars="0"/>
              <w:jc w:val="center"/>
              <w:rPr>
                <w:kern w:val="0"/>
                <w:sz w:val="21"/>
                <w:szCs w:val="21"/>
              </w:rPr>
            </w:pPr>
            <w:r>
              <w:rPr>
                <w:kern w:val="0"/>
                <w:sz w:val="21"/>
                <w:szCs w:val="21"/>
              </w:rPr>
              <w:t>2700</w:t>
            </w:r>
          </w:p>
        </w:tc>
        <w:tc>
          <w:tcPr>
            <w:tcW w:w="870" w:type="pct"/>
            <w:tcBorders>
              <w:top w:val="single" w:color="auto" w:sz="4" w:space="0"/>
              <w:left w:val="single" w:color="auto" w:sz="4" w:space="0"/>
              <w:bottom w:val="single" w:color="auto" w:sz="4" w:space="0"/>
              <w:right w:val="single" w:color="auto" w:sz="4" w:space="0"/>
            </w:tcBorders>
            <w:vAlign w:val="center"/>
          </w:tcPr>
          <w:p w14:paraId="47AF149F">
            <w:pPr>
              <w:spacing w:line="260" w:lineRule="exact"/>
              <w:ind w:firstLine="0" w:firstLineChars="0"/>
              <w:jc w:val="center"/>
              <w:rPr>
                <w:kern w:val="0"/>
                <w:sz w:val="21"/>
                <w:szCs w:val="21"/>
              </w:rPr>
            </w:pPr>
            <w:r>
              <w:rPr>
                <w:kern w:val="0"/>
                <w:sz w:val="21"/>
                <w:szCs w:val="21"/>
              </w:rPr>
              <w:t>4300</w:t>
            </w:r>
          </w:p>
        </w:tc>
        <w:tc>
          <w:tcPr>
            <w:tcW w:w="496" w:type="pct"/>
            <w:tcBorders>
              <w:top w:val="single" w:color="auto" w:sz="4" w:space="0"/>
              <w:left w:val="single" w:color="auto" w:sz="4" w:space="0"/>
              <w:bottom w:val="single" w:color="auto" w:sz="4" w:space="0"/>
              <w:right w:val="single" w:color="auto" w:sz="4" w:space="0"/>
            </w:tcBorders>
            <w:vAlign w:val="center"/>
          </w:tcPr>
          <w:p w14:paraId="54C2122D">
            <w:pPr>
              <w:spacing w:line="260" w:lineRule="exact"/>
              <w:ind w:firstLine="0" w:firstLineChars="0"/>
              <w:jc w:val="center"/>
              <w:rPr>
                <w:sz w:val="21"/>
                <w:szCs w:val="21"/>
              </w:rPr>
            </w:pPr>
            <w:r>
              <w:rPr>
                <w:rFonts w:hint="eastAsia"/>
                <w:sz w:val="21"/>
                <w:szCs w:val="21"/>
              </w:rPr>
              <w:t>预期性</w:t>
            </w:r>
          </w:p>
        </w:tc>
      </w:tr>
      <w:tr w14:paraId="414DEF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1C560CB8">
            <w:pPr>
              <w:spacing w:line="260" w:lineRule="exact"/>
              <w:ind w:firstLine="0" w:firstLineChars="0"/>
              <w:jc w:val="center"/>
              <w:rPr>
                <w:sz w:val="21"/>
                <w:szCs w:val="21"/>
              </w:rPr>
            </w:pPr>
            <w:r>
              <w:rPr>
                <w:sz w:val="21"/>
                <w:szCs w:val="21"/>
              </w:rPr>
              <w:t>8</w:t>
            </w:r>
          </w:p>
        </w:tc>
        <w:tc>
          <w:tcPr>
            <w:tcW w:w="448" w:type="pct"/>
            <w:vMerge w:val="restart"/>
            <w:tcBorders>
              <w:left w:val="single" w:color="auto" w:sz="4" w:space="0"/>
              <w:right w:val="single" w:color="auto" w:sz="4" w:space="0"/>
            </w:tcBorders>
            <w:vAlign w:val="center"/>
          </w:tcPr>
          <w:p w14:paraId="704E38B9">
            <w:pPr>
              <w:spacing w:line="260" w:lineRule="exact"/>
              <w:ind w:firstLine="0" w:firstLineChars="0"/>
              <w:jc w:val="center"/>
              <w:rPr>
                <w:sz w:val="21"/>
                <w:szCs w:val="21"/>
              </w:rPr>
            </w:pPr>
            <w:bookmarkStart w:id="109" w:name="OLE_LINK110"/>
            <w:r>
              <w:rPr>
                <w:rFonts w:hint="eastAsia"/>
                <w:sz w:val="21"/>
                <w:szCs w:val="21"/>
              </w:rPr>
              <w:t>创</w:t>
            </w:r>
            <w:bookmarkEnd w:id="109"/>
            <w:r>
              <w:rPr>
                <w:rFonts w:hint="eastAsia"/>
                <w:sz w:val="21"/>
                <w:szCs w:val="21"/>
              </w:rPr>
              <w:t>新驱动</w:t>
            </w:r>
          </w:p>
        </w:tc>
        <w:tc>
          <w:tcPr>
            <w:tcW w:w="2082" w:type="pct"/>
            <w:tcBorders>
              <w:top w:val="single" w:color="auto" w:sz="4" w:space="0"/>
              <w:left w:val="single" w:color="auto" w:sz="4" w:space="0"/>
              <w:bottom w:val="single" w:color="auto" w:sz="4" w:space="0"/>
              <w:right w:val="single" w:color="auto" w:sz="4" w:space="0"/>
            </w:tcBorders>
            <w:vAlign w:val="center"/>
          </w:tcPr>
          <w:p w14:paraId="48F0AAA8">
            <w:pPr>
              <w:spacing w:line="260" w:lineRule="exact"/>
              <w:ind w:firstLine="0" w:firstLineChars="0"/>
              <w:jc w:val="center"/>
              <w:rPr>
                <w:sz w:val="21"/>
                <w:szCs w:val="21"/>
              </w:rPr>
            </w:pPr>
            <w:bookmarkStart w:id="110" w:name="OLE_LINK108"/>
            <w:bookmarkStart w:id="111" w:name="OLE_LINK109"/>
            <w:r>
              <w:rPr>
                <w:rFonts w:hint="eastAsia"/>
                <w:sz w:val="21"/>
                <w:szCs w:val="21"/>
              </w:rPr>
              <w:t>战略性新兴产业产值占规模以上工业总产值比重</w:t>
            </w:r>
            <w:bookmarkEnd w:id="110"/>
            <w:bookmarkEnd w:id="111"/>
            <w:r>
              <w:rPr>
                <w:rFonts w:hint="eastAsia"/>
                <w:sz w:val="21"/>
                <w:szCs w:val="21"/>
              </w:rPr>
              <w:t>（</w:t>
            </w:r>
            <w:r>
              <w:rPr>
                <w:sz w:val="21"/>
                <w:szCs w:val="21"/>
              </w:rPr>
              <w:t>%</w:t>
            </w:r>
            <w:r>
              <w:rPr>
                <w:rFonts w:hint="eastAsia"/>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27925ED1">
            <w:pPr>
              <w:spacing w:line="260" w:lineRule="exact"/>
              <w:ind w:firstLine="0" w:firstLineChars="0"/>
              <w:jc w:val="center"/>
              <w:rPr>
                <w:sz w:val="21"/>
                <w:szCs w:val="21"/>
              </w:rPr>
            </w:pPr>
            <w:r>
              <w:rPr>
                <w:kern w:val="0"/>
                <w:sz w:val="21"/>
                <w:szCs w:val="21"/>
              </w:rPr>
              <w:t>53</w:t>
            </w:r>
          </w:p>
        </w:tc>
        <w:tc>
          <w:tcPr>
            <w:tcW w:w="870" w:type="pct"/>
            <w:tcBorders>
              <w:top w:val="single" w:color="auto" w:sz="4" w:space="0"/>
              <w:left w:val="single" w:color="auto" w:sz="4" w:space="0"/>
              <w:bottom w:val="single" w:color="auto" w:sz="4" w:space="0"/>
              <w:right w:val="single" w:color="auto" w:sz="4" w:space="0"/>
            </w:tcBorders>
            <w:vAlign w:val="center"/>
          </w:tcPr>
          <w:p w14:paraId="3FC075CB">
            <w:pPr>
              <w:spacing w:line="260" w:lineRule="exact"/>
              <w:ind w:firstLine="0" w:firstLineChars="0"/>
              <w:jc w:val="center"/>
              <w:rPr>
                <w:sz w:val="21"/>
                <w:szCs w:val="21"/>
              </w:rPr>
            </w:pPr>
            <w:r>
              <w:rPr>
                <w:kern w:val="0"/>
                <w:sz w:val="21"/>
                <w:szCs w:val="21"/>
              </w:rPr>
              <w:t>60</w:t>
            </w:r>
          </w:p>
        </w:tc>
        <w:tc>
          <w:tcPr>
            <w:tcW w:w="496" w:type="pct"/>
            <w:tcBorders>
              <w:top w:val="single" w:color="auto" w:sz="4" w:space="0"/>
              <w:left w:val="single" w:color="auto" w:sz="4" w:space="0"/>
              <w:bottom w:val="single" w:color="auto" w:sz="4" w:space="0"/>
              <w:right w:val="single" w:color="auto" w:sz="4" w:space="0"/>
            </w:tcBorders>
            <w:vAlign w:val="center"/>
          </w:tcPr>
          <w:p w14:paraId="48E00150">
            <w:pPr>
              <w:spacing w:line="260" w:lineRule="exact"/>
              <w:ind w:firstLine="0" w:firstLineChars="0"/>
              <w:jc w:val="center"/>
              <w:rPr>
                <w:sz w:val="21"/>
                <w:szCs w:val="21"/>
              </w:rPr>
            </w:pPr>
            <w:r>
              <w:rPr>
                <w:rFonts w:hint="eastAsia"/>
                <w:sz w:val="21"/>
                <w:szCs w:val="21"/>
              </w:rPr>
              <w:t>预期性</w:t>
            </w:r>
          </w:p>
        </w:tc>
      </w:tr>
      <w:tr w14:paraId="01414E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23593724">
            <w:pPr>
              <w:spacing w:line="260" w:lineRule="exact"/>
              <w:ind w:firstLine="0" w:firstLineChars="0"/>
              <w:jc w:val="center"/>
              <w:rPr>
                <w:sz w:val="21"/>
                <w:szCs w:val="21"/>
              </w:rPr>
            </w:pPr>
            <w:r>
              <w:rPr>
                <w:sz w:val="21"/>
                <w:szCs w:val="21"/>
              </w:rPr>
              <w:t>9</w:t>
            </w:r>
          </w:p>
        </w:tc>
        <w:tc>
          <w:tcPr>
            <w:tcW w:w="448" w:type="pct"/>
            <w:vMerge w:val="continue"/>
            <w:tcBorders>
              <w:left w:val="single" w:color="auto" w:sz="4" w:space="0"/>
              <w:right w:val="single" w:color="auto" w:sz="4" w:space="0"/>
            </w:tcBorders>
            <w:vAlign w:val="center"/>
          </w:tcPr>
          <w:p w14:paraId="312D77F2">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702F86A7">
            <w:pPr>
              <w:spacing w:line="260" w:lineRule="exact"/>
              <w:ind w:firstLine="0" w:firstLineChars="0"/>
              <w:jc w:val="center"/>
              <w:rPr>
                <w:sz w:val="21"/>
                <w:szCs w:val="21"/>
              </w:rPr>
            </w:pPr>
            <w:r>
              <w:rPr>
                <w:rFonts w:hint="eastAsia"/>
                <w:sz w:val="21"/>
                <w:szCs w:val="21"/>
              </w:rPr>
              <w:t>研究与试验发展（</w:t>
            </w:r>
            <w:r>
              <w:rPr>
                <w:sz w:val="21"/>
                <w:szCs w:val="21"/>
              </w:rPr>
              <w:t>R&amp;D</w:t>
            </w:r>
            <w:r>
              <w:rPr>
                <w:rFonts w:hint="eastAsia"/>
                <w:sz w:val="21"/>
                <w:szCs w:val="21"/>
              </w:rPr>
              <w:t>）经费支出占</w:t>
            </w:r>
            <w:r>
              <w:rPr>
                <w:sz w:val="21"/>
                <w:szCs w:val="21"/>
              </w:rPr>
              <w:t>GDP</w:t>
            </w:r>
            <w:r>
              <w:rPr>
                <w:rFonts w:hint="eastAsia"/>
                <w:sz w:val="21"/>
                <w:szCs w:val="21"/>
              </w:rPr>
              <w:t>比例（</w:t>
            </w:r>
            <w:r>
              <w:rPr>
                <w:sz w:val="21"/>
                <w:szCs w:val="21"/>
              </w:rPr>
              <w:t>%</w:t>
            </w:r>
            <w:r>
              <w:rPr>
                <w:rFonts w:hint="eastAsia"/>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644A4241">
            <w:pPr>
              <w:spacing w:line="260" w:lineRule="exact"/>
              <w:ind w:firstLine="0" w:firstLineChars="0"/>
              <w:jc w:val="center"/>
              <w:rPr>
                <w:sz w:val="21"/>
                <w:szCs w:val="21"/>
              </w:rPr>
            </w:pPr>
            <w:r>
              <w:rPr>
                <w:kern w:val="0"/>
                <w:sz w:val="21"/>
                <w:szCs w:val="21"/>
              </w:rPr>
              <w:t>0.3</w:t>
            </w:r>
          </w:p>
        </w:tc>
        <w:tc>
          <w:tcPr>
            <w:tcW w:w="870" w:type="pct"/>
            <w:tcBorders>
              <w:top w:val="single" w:color="auto" w:sz="4" w:space="0"/>
              <w:left w:val="single" w:color="auto" w:sz="4" w:space="0"/>
              <w:bottom w:val="single" w:color="auto" w:sz="4" w:space="0"/>
              <w:right w:val="single" w:color="auto" w:sz="4" w:space="0"/>
            </w:tcBorders>
            <w:vAlign w:val="center"/>
          </w:tcPr>
          <w:p w14:paraId="52BC72CA">
            <w:pPr>
              <w:spacing w:line="260" w:lineRule="exact"/>
              <w:ind w:firstLine="0" w:firstLineChars="0"/>
              <w:jc w:val="center"/>
              <w:rPr>
                <w:sz w:val="21"/>
                <w:szCs w:val="21"/>
              </w:rPr>
            </w:pPr>
            <w:r>
              <w:rPr>
                <w:kern w:val="0"/>
                <w:sz w:val="21"/>
                <w:szCs w:val="21"/>
              </w:rPr>
              <w:t>0.7</w:t>
            </w:r>
          </w:p>
        </w:tc>
        <w:tc>
          <w:tcPr>
            <w:tcW w:w="496" w:type="pct"/>
            <w:tcBorders>
              <w:top w:val="single" w:color="auto" w:sz="4" w:space="0"/>
              <w:left w:val="single" w:color="auto" w:sz="4" w:space="0"/>
              <w:bottom w:val="single" w:color="auto" w:sz="4" w:space="0"/>
              <w:right w:val="single" w:color="auto" w:sz="4" w:space="0"/>
            </w:tcBorders>
            <w:vAlign w:val="center"/>
          </w:tcPr>
          <w:p w14:paraId="595123FC">
            <w:pPr>
              <w:spacing w:line="260" w:lineRule="exact"/>
              <w:ind w:firstLine="0" w:firstLineChars="0"/>
              <w:jc w:val="center"/>
              <w:rPr>
                <w:sz w:val="21"/>
                <w:szCs w:val="21"/>
              </w:rPr>
            </w:pPr>
            <w:r>
              <w:rPr>
                <w:rFonts w:hint="eastAsia"/>
                <w:sz w:val="21"/>
                <w:szCs w:val="21"/>
              </w:rPr>
              <w:t>预期性</w:t>
            </w:r>
          </w:p>
        </w:tc>
      </w:tr>
      <w:tr w14:paraId="319C05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14C231C5">
            <w:pPr>
              <w:spacing w:line="260" w:lineRule="exact"/>
              <w:ind w:firstLine="0" w:firstLineChars="0"/>
              <w:jc w:val="center"/>
              <w:rPr>
                <w:sz w:val="21"/>
                <w:szCs w:val="21"/>
              </w:rPr>
            </w:pPr>
            <w:r>
              <w:rPr>
                <w:sz w:val="21"/>
                <w:szCs w:val="21"/>
              </w:rPr>
              <w:t>10</w:t>
            </w:r>
          </w:p>
        </w:tc>
        <w:tc>
          <w:tcPr>
            <w:tcW w:w="448" w:type="pct"/>
            <w:vMerge w:val="continue"/>
            <w:tcBorders>
              <w:left w:val="single" w:color="auto" w:sz="4" w:space="0"/>
              <w:right w:val="single" w:color="auto" w:sz="4" w:space="0"/>
            </w:tcBorders>
            <w:vAlign w:val="center"/>
          </w:tcPr>
          <w:p w14:paraId="47A55F4F">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92EEEBE">
            <w:pPr>
              <w:spacing w:line="260" w:lineRule="exact"/>
              <w:ind w:firstLine="0" w:firstLineChars="0"/>
              <w:jc w:val="center"/>
              <w:rPr>
                <w:sz w:val="21"/>
                <w:szCs w:val="21"/>
              </w:rPr>
            </w:pPr>
            <w:bookmarkStart w:id="112" w:name="OLE_LINK246"/>
            <w:r>
              <w:rPr>
                <w:rFonts w:hint="eastAsia"/>
                <w:sz w:val="21"/>
                <w:szCs w:val="21"/>
              </w:rPr>
              <w:t>高新技术企业</w:t>
            </w:r>
            <w:bookmarkEnd w:id="112"/>
            <w:r>
              <w:rPr>
                <w:rFonts w:hint="eastAsia"/>
                <w:sz w:val="21"/>
                <w:szCs w:val="21"/>
              </w:rPr>
              <w:t>数量（个）</w:t>
            </w:r>
          </w:p>
        </w:tc>
        <w:tc>
          <w:tcPr>
            <w:tcW w:w="731" w:type="pct"/>
            <w:tcBorders>
              <w:top w:val="single" w:color="auto" w:sz="4" w:space="0"/>
              <w:left w:val="single" w:color="auto" w:sz="4" w:space="0"/>
              <w:bottom w:val="single" w:color="auto" w:sz="4" w:space="0"/>
              <w:right w:val="single" w:color="auto" w:sz="4" w:space="0"/>
            </w:tcBorders>
            <w:vAlign w:val="center"/>
          </w:tcPr>
          <w:p w14:paraId="3E49E859">
            <w:pPr>
              <w:spacing w:line="260" w:lineRule="exact"/>
              <w:ind w:firstLine="0" w:firstLineChars="0"/>
              <w:jc w:val="center"/>
              <w:rPr>
                <w:sz w:val="21"/>
                <w:szCs w:val="21"/>
              </w:rPr>
            </w:pPr>
            <w:r>
              <w:rPr>
                <w:sz w:val="21"/>
                <w:szCs w:val="21"/>
              </w:rPr>
              <w:t>32</w:t>
            </w:r>
          </w:p>
        </w:tc>
        <w:tc>
          <w:tcPr>
            <w:tcW w:w="870" w:type="pct"/>
            <w:tcBorders>
              <w:top w:val="single" w:color="auto" w:sz="4" w:space="0"/>
              <w:left w:val="single" w:color="auto" w:sz="4" w:space="0"/>
              <w:bottom w:val="single" w:color="auto" w:sz="4" w:space="0"/>
              <w:right w:val="single" w:color="auto" w:sz="4" w:space="0"/>
            </w:tcBorders>
            <w:vAlign w:val="center"/>
          </w:tcPr>
          <w:p w14:paraId="7F23D808">
            <w:pPr>
              <w:spacing w:line="260" w:lineRule="exact"/>
              <w:ind w:firstLine="0" w:firstLineChars="0"/>
              <w:jc w:val="center"/>
              <w:rPr>
                <w:sz w:val="21"/>
                <w:szCs w:val="21"/>
              </w:rPr>
            </w:pPr>
            <w:r>
              <w:rPr>
                <w:sz w:val="21"/>
                <w:szCs w:val="21"/>
              </w:rPr>
              <w:t>50</w:t>
            </w:r>
          </w:p>
        </w:tc>
        <w:tc>
          <w:tcPr>
            <w:tcW w:w="496" w:type="pct"/>
            <w:tcBorders>
              <w:top w:val="single" w:color="auto" w:sz="4" w:space="0"/>
              <w:left w:val="single" w:color="auto" w:sz="4" w:space="0"/>
              <w:bottom w:val="single" w:color="auto" w:sz="4" w:space="0"/>
              <w:right w:val="single" w:color="auto" w:sz="4" w:space="0"/>
            </w:tcBorders>
            <w:vAlign w:val="center"/>
          </w:tcPr>
          <w:p w14:paraId="1A8580E2">
            <w:pPr>
              <w:spacing w:line="260" w:lineRule="exact"/>
              <w:ind w:firstLine="0" w:firstLineChars="0"/>
              <w:jc w:val="center"/>
              <w:rPr>
                <w:sz w:val="21"/>
                <w:szCs w:val="21"/>
              </w:rPr>
            </w:pPr>
            <w:r>
              <w:rPr>
                <w:rFonts w:hint="eastAsia"/>
                <w:sz w:val="21"/>
                <w:szCs w:val="21"/>
              </w:rPr>
              <w:t>预期性</w:t>
            </w:r>
          </w:p>
        </w:tc>
      </w:tr>
      <w:tr w14:paraId="15CD9F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065327C3">
            <w:pPr>
              <w:spacing w:line="260" w:lineRule="exact"/>
              <w:ind w:firstLine="0" w:firstLineChars="0"/>
              <w:jc w:val="center"/>
              <w:rPr>
                <w:sz w:val="21"/>
                <w:szCs w:val="21"/>
              </w:rPr>
            </w:pPr>
            <w:r>
              <w:rPr>
                <w:sz w:val="21"/>
                <w:szCs w:val="21"/>
              </w:rPr>
              <w:t>11</w:t>
            </w:r>
          </w:p>
        </w:tc>
        <w:tc>
          <w:tcPr>
            <w:tcW w:w="448" w:type="pct"/>
            <w:vMerge w:val="continue"/>
            <w:tcBorders>
              <w:left w:val="single" w:color="auto" w:sz="4" w:space="0"/>
              <w:right w:val="single" w:color="auto" w:sz="4" w:space="0"/>
            </w:tcBorders>
            <w:vAlign w:val="center"/>
          </w:tcPr>
          <w:p w14:paraId="47C85BCC">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10FBD0DD">
            <w:pPr>
              <w:spacing w:line="260" w:lineRule="exact"/>
              <w:ind w:firstLine="0" w:firstLineChars="0"/>
              <w:jc w:val="center"/>
              <w:rPr>
                <w:sz w:val="21"/>
                <w:szCs w:val="21"/>
              </w:rPr>
            </w:pPr>
            <w:r>
              <w:rPr>
                <w:rFonts w:hint="eastAsia"/>
                <w:sz w:val="21"/>
                <w:szCs w:val="21"/>
              </w:rPr>
              <w:t>技术合同成交额（亿元）</w:t>
            </w:r>
          </w:p>
        </w:tc>
        <w:tc>
          <w:tcPr>
            <w:tcW w:w="731" w:type="pct"/>
            <w:tcBorders>
              <w:top w:val="single" w:color="auto" w:sz="4" w:space="0"/>
              <w:left w:val="single" w:color="auto" w:sz="4" w:space="0"/>
              <w:bottom w:val="single" w:color="auto" w:sz="4" w:space="0"/>
              <w:right w:val="single" w:color="auto" w:sz="4" w:space="0"/>
            </w:tcBorders>
            <w:vAlign w:val="center"/>
          </w:tcPr>
          <w:p w14:paraId="48A13D5C">
            <w:pPr>
              <w:spacing w:line="260" w:lineRule="exact"/>
              <w:ind w:firstLine="0" w:firstLineChars="0"/>
              <w:jc w:val="center"/>
              <w:rPr>
                <w:sz w:val="21"/>
                <w:szCs w:val="21"/>
              </w:rPr>
            </w:pPr>
            <w:r>
              <w:rPr>
                <w:sz w:val="21"/>
                <w:szCs w:val="21"/>
              </w:rPr>
              <w:t>2.8</w:t>
            </w:r>
          </w:p>
        </w:tc>
        <w:tc>
          <w:tcPr>
            <w:tcW w:w="870" w:type="pct"/>
            <w:tcBorders>
              <w:top w:val="single" w:color="auto" w:sz="4" w:space="0"/>
              <w:left w:val="single" w:color="auto" w:sz="4" w:space="0"/>
              <w:bottom w:val="single" w:color="auto" w:sz="4" w:space="0"/>
              <w:right w:val="single" w:color="auto" w:sz="4" w:space="0"/>
            </w:tcBorders>
            <w:vAlign w:val="center"/>
          </w:tcPr>
          <w:p w14:paraId="16383C47">
            <w:pPr>
              <w:spacing w:line="260" w:lineRule="exact"/>
              <w:ind w:firstLine="0" w:firstLineChars="0"/>
              <w:jc w:val="center"/>
              <w:rPr>
                <w:sz w:val="21"/>
                <w:szCs w:val="21"/>
              </w:rPr>
            </w:pPr>
            <w:r>
              <w:rPr>
                <w:sz w:val="21"/>
                <w:szCs w:val="21"/>
              </w:rPr>
              <w:t>4.0</w:t>
            </w:r>
          </w:p>
        </w:tc>
        <w:tc>
          <w:tcPr>
            <w:tcW w:w="496" w:type="pct"/>
            <w:tcBorders>
              <w:top w:val="single" w:color="auto" w:sz="4" w:space="0"/>
              <w:left w:val="single" w:color="auto" w:sz="4" w:space="0"/>
              <w:bottom w:val="single" w:color="auto" w:sz="4" w:space="0"/>
              <w:right w:val="single" w:color="auto" w:sz="4" w:space="0"/>
            </w:tcBorders>
            <w:vAlign w:val="center"/>
          </w:tcPr>
          <w:p w14:paraId="035A7C97">
            <w:pPr>
              <w:spacing w:line="260" w:lineRule="exact"/>
              <w:ind w:firstLine="0" w:firstLineChars="0"/>
              <w:jc w:val="center"/>
              <w:rPr>
                <w:sz w:val="21"/>
                <w:szCs w:val="21"/>
              </w:rPr>
            </w:pPr>
            <w:r>
              <w:rPr>
                <w:rFonts w:hint="eastAsia"/>
                <w:sz w:val="21"/>
                <w:szCs w:val="21"/>
              </w:rPr>
              <w:t>预期性</w:t>
            </w:r>
          </w:p>
        </w:tc>
      </w:tr>
      <w:tr w14:paraId="469A1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jc w:val="center"/>
        </w:trPr>
        <w:tc>
          <w:tcPr>
            <w:tcW w:w="370" w:type="pct"/>
            <w:tcBorders>
              <w:top w:val="single" w:color="auto" w:sz="4" w:space="0"/>
              <w:left w:val="single" w:color="auto" w:sz="4" w:space="0"/>
              <w:bottom w:val="single" w:color="auto" w:sz="4" w:space="0"/>
              <w:right w:val="single" w:color="auto" w:sz="4" w:space="0"/>
            </w:tcBorders>
            <w:vAlign w:val="center"/>
          </w:tcPr>
          <w:p w14:paraId="10340E53">
            <w:pPr>
              <w:spacing w:line="260" w:lineRule="exact"/>
              <w:ind w:firstLine="0" w:firstLineChars="0"/>
              <w:jc w:val="center"/>
              <w:rPr>
                <w:sz w:val="21"/>
                <w:szCs w:val="21"/>
              </w:rPr>
            </w:pPr>
            <w:r>
              <w:rPr>
                <w:rFonts w:hint="eastAsia"/>
                <w:sz w:val="21"/>
                <w:szCs w:val="21"/>
              </w:rPr>
              <w:t>1</w:t>
            </w:r>
            <w:r>
              <w:rPr>
                <w:sz w:val="21"/>
                <w:szCs w:val="21"/>
              </w:rPr>
              <w:t>2</w:t>
            </w:r>
          </w:p>
        </w:tc>
        <w:tc>
          <w:tcPr>
            <w:tcW w:w="448" w:type="pct"/>
            <w:vMerge w:val="restart"/>
            <w:tcBorders>
              <w:top w:val="single" w:color="auto" w:sz="4" w:space="0"/>
              <w:left w:val="single" w:color="auto" w:sz="4" w:space="0"/>
              <w:right w:val="single" w:color="auto" w:sz="4" w:space="0"/>
            </w:tcBorders>
            <w:vAlign w:val="center"/>
          </w:tcPr>
          <w:p w14:paraId="40AC1233">
            <w:pPr>
              <w:spacing w:line="260" w:lineRule="exact"/>
              <w:ind w:firstLine="0" w:firstLineChars="0"/>
              <w:jc w:val="center"/>
              <w:rPr>
                <w:sz w:val="21"/>
                <w:szCs w:val="21"/>
              </w:rPr>
            </w:pPr>
            <w:r>
              <w:rPr>
                <w:rFonts w:hint="eastAsia"/>
                <w:sz w:val="21"/>
                <w:szCs w:val="21"/>
              </w:rPr>
              <w:t>民生福祉</w:t>
            </w:r>
          </w:p>
        </w:tc>
        <w:tc>
          <w:tcPr>
            <w:tcW w:w="2082" w:type="pct"/>
            <w:tcBorders>
              <w:top w:val="single" w:color="auto" w:sz="4" w:space="0"/>
              <w:left w:val="single" w:color="auto" w:sz="4" w:space="0"/>
              <w:bottom w:val="single" w:color="auto" w:sz="4" w:space="0"/>
              <w:right w:val="single" w:color="auto" w:sz="4" w:space="0"/>
            </w:tcBorders>
            <w:vAlign w:val="center"/>
          </w:tcPr>
          <w:p w14:paraId="20FE1FB6">
            <w:pPr>
              <w:spacing w:line="260" w:lineRule="exact"/>
              <w:ind w:firstLine="0" w:firstLineChars="0"/>
              <w:jc w:val="center"/>
              <w:rPr>
                <w:sz w:val="21"/>
                <w:szCs w:val="21"/>
              </w:rPr>
            </w:pPr>
            <w:bookmarkStart w:id="113" w:name="OLE_LINK247"/>
            <w:bookmarkStart w:id="114" w:name="OLE_LINK248"/>
            <w:r>
              <w:rPr>
                <w:rFonts w:hint="eastAsia"/>
                <w:sz w:val="21"/>
                <w:szCs w:val="21"/>
              </w:rPr>
              <w:t>城镇居民人均可支配收入</w:t>
            </w:r>
            <w:bookmarkEnd w:id="113"/>
            <w:bookmarkEnd w:id="114"/>
            <w:r>
              <w:rPr>
                <w:rFonts w:hint="eastAsia"/>
                <w:sz w:val="21"/>
                <w:szCs w:val="21"/>
              </w:rPr>
              <w:t>增长（</w:t>
            </w:r>
            <w:r>
              <w:rPr>
                <w:sz w:val="21"/>
                <w:szCs w:val="21"/>
              </w:rPr>
              <w:t>%</w:t>
            </w:r>
            <w:r>
              <w:rPr>
                <w:rFonts w:hint="eastAsia"/>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31CBAAAD">
            <w:pPr>
              <w:spacing w:line="260" w:lineRule="exact"/>
              <w:ind w:firstLine="0" w:firstLineChars="0"/>
              <w:jc w:val="center"/>
              <w:rPr>
                <w:sz w:val="21"/>
                <w:szCs w:val="21"/>
              </w:rPr>
            </w:pPr>
            <w:r>
              <w:rPr>
                <w:rFonts w:hint="eastAsia"/>
                <w:sz w:val="21"/>
                <w:szCs w:val="21"/>
              </w:rPr>
              <w:t>年均增速</w:t>
            </w:r>
            <w:r>
              <w:rPr>
                <w:sz w:val="21"/>
                <w:szCs w:val="21"/>
              </w:rPr>
              <w:t>3.8</w:t>
            </w:r>
          </w:p>
        </w:tc>
        <w:tc>
          <w:tcPr>
            <w:tcW w:w="870" w:type="pct"/>
            <w:tcBorders>
              <w:top w:val="single" w:color="auto" w:sz="4" w:space="0"/>
              <w:left w:val="single" w:color="auto" w:sz="4" w:space="0"/>
              <w:bottom w:val="single" w:color="auto" w:sz="4" w:space="0"/>
              <w:right w:val="single" w:color="auto" w:sz="4" w:space="0"/>
            </w:tcBorders>
            <w:vAlign w:val="center"/>
          </w:tcPr>
          <w:p w14:paraId="178D4370">
            <w:pPr>
              <w:spacing w:line="260" w:lineRule="exact"/>
              <w:ind w:firstLine="0" w:firstLineChars="0"/>
              <w:jc w:val="center"/>
              <w:rPr>
                <w:sz w:val="21"/>
                <w:szCs w:val="21"/>
              </w:rPr>
            </w:pPr>
            <w:r>
              <w:rPr>
                <w:rFonts w:hint="eastAsia"/>
                <w:sz w:val="20"/>
                <w:szCs w:val="21"/>
              </w:rPr>
              <w:t>与经济增长基本同步</w:t>
            </w:r>
          </w:p>
        </w:tc>
        <w:tc>
          <w:tcPr>
            <w:tcW w:w="496" w:type="pct"/>
            <w:tcBorders>
              <w:top w:val="single" w:color="auto" w:sz="4" w:space="0"/>
              <w:left w:val="single" w:color="auto" w:sz="4" w:space="0"/>
              <w:bottom w:val="single" w:color="auto" w:sz="4" w:space="0"/>
              <w:right w:val="single" w:color="auto" w:sz="4" w:space="0"/>
            </w:tcBorders>
            <w:vAlign w:val="center"/>
          </w:tcPr>
          <w:p w14:paraId="04E216F7">
            <w:pPr>
              <w:spacing w:line="260" w:lineRule="exact"/>
              <w:ind w:firstLine="0" w:firstLineChars="0"/>
              <w:jc w:val="center"/>
              <w:rPr>
                <w:sz w:val="21"/>
                <w:szCs w:val="21"/>
              </w:rPr>
            </w:pPr>
            <w:r>
              <w:rPr>
                <w:rFonts w:hint="eastAsia"/>
                <w:sz w:val="21"/>
                <w:szCs w:val="21"/>
              </w:rPr>
              <w:t>预期性</w:t>
            </w:r>
          </w:p>
        </w:tc>
      </w:tr>
      <w:tr w14:paraId="1709A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62101027">
            <w:pPr>
              <w:spacing w:line="260" w:lineRule="exact"/>
              <w:ind w:firstLine="0" w:firstLineChars="0"/>
              <w:jc w:val="center"/>
              <w:rPr>
                <w:sz w:val="21"/>
                <w:szCs w:val="21"/>
              </w:rPr>
            </w:pPr>
            <w:r>
              <w:rPr>
                <w:sz w:val="21"/>
                <w:szCs w:val="21"/>
              </w:rPr>
              <w:t>13</w:t>
            </w:r>
          </w:p>
        </w:tc>
        <w:tc>
          <w:tcPr>
            <w:tcW w:w="448" w:type="pct"/>
            <w:vMerge w:val="continue"/>
            <w:tcBorders>
              <w:left w:val="single" w:color="auto" w:sz="4" w:space="0"/>
              <w:right w:val="single" w:color="auto" w:sz="4" w:space="0"/>
            </w:tcBorders>
            <w:vAlign w:val="center"/>
          </w:tcPr>
          <w:p w14:paraId="5CA80E17">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44571D7">
            <w:pPr>
              <w:spacing w:line="260" w:lineRule="exact"/>
              <w:ind w:firstLine="0" w:firstLineChars="0"/>
              <w:jc w:val="center"/>
              <w:rPr>
                <w:sz w:val="21"/>
                <w:szCs w:val="21"/>
              </w:rPr>
            </w:pPr>
            <w:r>
              <w:rPr>
                <w:rFonts w:hint="eastAsia"/>
                <w:sz w:val="21"/>
                <w:szCs w:val="21"/>
              </w:rPr>
              <w:t>农村居民人均可支配收入增长（</w:t>
            </w:r>
            <w:r>
              <w:rPr>
                <w:sz w:val="21"/>
                <w:szCs w:val="21"/>
              </w:rPr>
              <w:t>%</w:t>
            </w:r>
            <w:r>
              <w:rPr>
                <w:rFonts w:hint="eastAsia"/>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26E30296">
            <w:pPr>
              <w:spacing w:line="260" w:lineRule="exact"/>
              <w:ind w:firstLine="0" w:firstLineChars="0"/>
              <w:jc w:val="center"/>
              <w:rPr>
                <w:sz w:val="21"/>
                <w:szCs w:val="21"/>
              </w:rPr>
            </w:pPr>
            <w:r>
              <w:rPr>
                <w:rFonts w:hint="eastAsia"/>
                <w:sz w:val="21"/>
                <w:szCs w:val="21"/>
              </w:rPr>
              <w:t>年均增速</w:t>
            </w:r>
            <w:r>
              <w:rPr>
                <w:sz w:val="21"/>
                <w:szCs w:val="21"/>
              </w:rPr>
              <w:t>6.2</w:t>
            </w:r>
          </w:p>
        </w:tc>
        <w:tc>
          <w:tcPr>
            <w:tcW w:w="870" w:type="pct"/>
            <w:tcBorders>
              <w:top w:val="single" w:color="auto" w:sz="4" w:space="0"/>
              <w:left w:val="single" w:color="auto" w:sz="4" w:space="0"/>
              <w:bottom w:val="single" w:color="auto" w:sz="4" w:space="0"/>
              <w:right w:val="single" w:color="auto" w:sz="4" w:space="0"/>
            </w:tcBorders>
            <w:vAlign w:val="center"/>
          </w:tcPr>
          <w:p w14:paraId="6208B398">
            <w:pPr>
              <w:spacing w:line="260" w:lineRule="exact"/>
              <w:ind w:firstLine="0" w:firstLineChars="0"/>
              <w:jc w:val="center"/>
              <w:rPr>
                <w:sz w:val="21"/>
                <w:szCs w:val="21"/>
              </w:rPr>
            </w:pPr>
            <w:r>
              <w:rPr>
                <w:rFonts w:hint="eastAsia"/>
                <w:sz w:val="20"/>
                <w:szCs w:val="21"/>
              </w:rPr>
              <w:t>与经济增长基本同步</w:t>
            </w:r>
          </w:p>
        </w:tc>
        <w:tc>
          <w:tcPr>
            <w:tcW w:w="496" w:type="pct"/>
            <w:tcBorders>
              <w:top w:val="single" w:color="auto" w:sz="4" w:space="0"/>
              <w:left w:val="single" w:color="auto" w:sz="4" w:space="0"/>
              <w:bottom w:val="single" w:color="auto" w:sz="4" w:space="0"/>
              <w:right w:val="single" w:color="auto" w:sz="4" w:space="0"/>
            </w:tcBorders>
            <w:vAlign w:val="center"/>
          </w:tcPr>
          <w:p w14:paraId="585179C0">
            <w:pPr>
              <w:spacing w:line="260" w:lineRule="exact"/>
              <w:ind w:firstLine="0" w:firstLineChars="0"/>
              <w:jc w:val="center"/>
              <w:rPr>
                <w:sz w:val="21"/>
                <w:szCs w:val="21"/>
              </w:rPr>
            </w:pPr>
            <w:r>
              <w:rPr>
                <w:rFonts w:hint="eastAsia"/>
                <w:sz w:val="21"/>
                <w:szCs w:val="21"/>
              </w:rPr>
              <w:t>预期性</w:t>
            </w:r>
          </w:p>
        </w:tc>
      </w:tr>
      <w:tr w14:paraId="1B7698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39E0E06F">
            <w:pPr>
              <w:spacing w:line="260" w:lineRule="exact"/>
              <w:ind w:firstLine="0" w:firstLineChars="0"/>
              <w:jc w:val="center"/>
              <w:rPr>
                <w:sz w:val="21"/>
                <w:szCs w:val="21"/>
              </w:rPr>
            </w:pPr>
            <w:bookmarkStart w:id="115" w:name="_Hlk206340698"/>
            <w:r>
              <w:rPr>
                <w:sz w:val="21"/>
                <w:szCs w:val="21"/>
              </w:rPr>
              <w:t>14</w:t>
            </w:r>
          </w:p>
        </w:tc>
        <w:tc>
          <w:tcPr>
            <w:tcW w:w="448" w:type="pct"/>
            <w:vMerge w:val="continue"/>
            <w:tcBorders>
              <w:left w:val="single" w:color="auto" w:sz="4" w:space="0"/>
              <w:right w:val="single" w:color="auto" w:sz="4" w:space="0"/>
            </w:tcBorders>
            <w:vAlign w:val="center"/>
          </w:tcPr>
          <w:p w14:paraId="4C6E3930">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ADAA42F">
            <w:pPr>
              <w:spacing w:line="260" w:lineRule="exact"/>
              <w:ind w:firstLine="0" w:firstLineChars="0"/>
              <w:jc w:val="center"/>
              <w:rPr>
                <w:sz w:val="21"/>
                <w:szCs w:val="21"/>
              </w:rPr>
            </w:pPr>
            <w:bookmarkStart w:id="116" w:name="OLE_LINK32"/>
            <w:r>
              <w:rPr>
                <w:rFonts w:hint="eastAsia"/>
                <w:sz w:val="21"/>
                <w:szCs w:val="21"/>
              </w:rPr>
              <w:t>城乡</w:t>
            </w:r>
            <w:bookmarkEnd w:id="116"/>
            <w:r>
              <w:rPr>
                <w:rFonts w:hint="eastAsia"/>
                <w:sz w:val="21"/>
                <w:szCs w:val="21"/>
              </w:rPr>
              <w:t>登记失业人员控制在（人）以内</w:t>
            </w:r>
          </w:p>
        </w:tc>
        <w:tc>
          <w:tcPr>
            <w:tcW w:w="731" w:type="pct"/>
            <w:tcBorders>
              <w:top w:val="single" w:color="auto" w:sz="4" w:space="0"/>
              <w:left w:val="single" w:color="auto" w:sz="4" w:space="0"/>
              <w:bottom w:val="single" w:color="auto" w:sz="4" w:space="0"/>
              <w:right w:val="single" w:color="auto" w:sz="4" w:space="0"/>
            </w:tcBorders>
            <w:vAlign w:val="center"/>
          </w:tcPr>
          <w:p w14:paraId="386CFED9">
            <w:pPr>
              <w:spacing w:line="260" w:lineRule="exact"/>
              <w:ind w:firstLine="0" w:firstLineChars="0"/>
              <w:jc w:val="center"/>
              <w:rPr>
                <w:sz w:val="21"/>
                <w:szCs w:val="21"/>
              </w:rPr>
            </w:pPr>
            <w:r>
              <w:rPr>
                <w:sz w:val="21"/>
                <w:szCs w:val="21"/>
              </w:rPr>
              <w:t>1400</w:t>
            </w:r>
          </w:p>
          <w:p w14:paraId="66248871">
            <w:pPr>
              <w:spacing w:line="260" w:lineRule="exact"/>
              <w:ind w:firstLine="0" w:firstLineChars="0"/>
              <w:jc w:val="center"/>
              <w:rPr>
                <w:sz w:val="21"/>
                <w:szCs w:val="21"/>
              </w:rPr>
            </w:pPr>
            <w:r>
              <w:rPr>
                <w:rFonts w:hint="eastAsia"/>
                <w:sz w:val="21"/>
                <w:szCs w:val="21"/>
              </w:rPr>
              <w:t>（年均）</w:t>
            </w:r>
          </w:p>
        </w:tc>
        <w:tc>
          <w:tcPr>
            <w:tcW w:w="870" w:type="pct"/>
            <w:tcBorders>
              <w:top w:val="single" w:color="auto" w:sz="4" w:space="0"/>
              <w:left w:val="single" w:color="auto" w:sz="4" w:space="0"/>
              <w:bottom w:val="single" w:color="auto" w:sz="4" w:space="0"/>
              <w:right w:val="single" w:color="auto" w:sz="4" w:space="0"/>
            </w:tcBorders>
            <w:vAlign w:val="center"/>
          </w:tcPr>
          <w:p w14:paraId="5C20953A">
            <w:pPr>
              <w:spacing w:line="260" w:lineRule="exact"/>
              <w:ind w:firstLine="0" w:firstLineChars="0"/>
              <w:jc w:val="center"/>
              <w:rPr>
                <w:sz w:val="21"/>
                <w:szCs w:val="21"/>
              </w:rPr>
            </w:pPr>
            <w:r>
              <w:rPr>
                <w:sz w:val="21"/>
                <w:szCs w:val="21"/>
              </w:rPr>
              <w:t>1500</w:t>
            </w:r>
          </w:p>
          <w:p w14:paraId="01588400">
            <w:pPr>
              <w:spacing w:line="260" w:lineRule="exact"/>
              <w:ind w:firstLine="0" w:firstLineChars="0"/>
              <w:jc w:val="center"/>
              <w:rPr>
                <w:sz w:val="21"/>
                <w:szCs w:val="21"/>
              </w:rPr>
            </w:pPr>
            <w:r>
              <w:rPr>
                <w:rFonts w:hint="eastAsia"/>
                <w:sz w:val="21"/>
                <w:szCs w:val="21"/>
              </w:rPr>
              <w:t>（年均）</w:t>
            </w:r>
          </w:p>
        </w:tc>
        <w:tc>
          <w:tcPr>
            <w:tcW w:w="496" w:type="pct"/>
            <w:tcBorders>
              <w:top w:val="single" w:color="auto" w:sz="4" w:space="0"/>
              <w:left w:val="single" w:color="auto" w:sz="4" w:space="0"/>
              <w:bottom w:val="single" w:color="auto" w:sz="4" w:space="0"/>
              <w:right w:val="single" w:color="auto" w:sz="4" w:space="0"/>
            </w:tcBorders>
            <w:vAlign w:val="center"/>
          </w:tcPr>
          <w:p w14:paraId="63B0747E">
            <w:pPr>
              <w:spacing w:line="260" w:lineRule="exact"/>
              <w:ind w:firstLine="0" w:firstLineChars="0"/>
              <w:jc w:val="center"/>
              <w:rPr>
                <w:sz w:val="21"/>
                <w:szCs w:val="21"/>
              </w:rPr>
            </w:pPr>
            <w:r>
              <w:rPr>
                <w:rFonts w:hint="eastAsia"/>
                <w:sz w:val="21"/>
                <w:szCs w:val="21"/>
              </w:rPr>
              <w:t>预期性</w:t>
            </w:r>
          </w:p>
        </w:tc>
      </w:tr>
      <w:bookmarkEnd w:id="115"/>
      <w:tr w14:paraId="1ACF5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212B3694">
            <w:pPr>
              <w:spacing w:line="260" w:lineRule="exact"/>
              <w:ind w:firstLine="0" w:firstLineChars="0"/>
              <w:jc w:val="center"/>
              <w:rPr>
                <w:sz w:val="21"/>
                <w:szCs w:val="21"/>
              </w:rPr>
            </w:pPr>
            <w:r>
              <w:rPr>
                <w:sz w:val="21"/>
                <w:szCs w:val="21"/>
              </w:rPr>
              <w:t>15</w:t>
            </w:r>
          </w:p>
        </w:tc>
        <w:tc>
          <w:tcPr>
            <w:tcW w:w="448" w:type="pct"/>
            <w:vMerge w:val="continue"/>
            <w:tcBorders>
              <w:left w:val="single" w:color="auto" w:sz="4" w:space="0"/>
              <w:right w:val="single" w:color="auto" w:sz="4" w:space="0"/>
            </w:tcBorders>
            <w:vAlign w:val="center"/>
          </w:tcPr>
          <w:p w14:paraId="488EAE0C">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41BDB27F">
            <w:pPr>
              <w:spacing w:line="260" w:lineRule="exact"/>
              <w:ind w:firstLine="0" w:firstLineChars="0"/>
              <w:jc w:val="center"/>
              <w:rPr>
                <w:sz w:val="21"/>
                <w:szCs w:val="21"/>
              </w:rPr>
            </w:pPr>
            <w:r>
              <w:rPr>
                <w:rFonts w:hint="eastAsia"/>
                <w:sz w:val="21"/>
                <w:szCs w:val="21"/>
              </w:rPr>
              <w:t>城乡每年新增就业人数（人）</w:t>
            </w:r>
          </w:p>
        </w:tc>
        <w:tc>
          <w:tcPr>
            <w:tcW w:w="731" w:type="pct"/>
            <w:tcBorders>
              <w:top w:val="single" w:color="auto" w:sz="4" w:space="0"/>
              <w:left w:val="single" w:color="auto" w:sz="4" w:space="0"/>
              <w:bottom w:val="single" w:color="auto" w:sz="4" w:space="0"/>
              <w:right w:val="single" w:color="auto" w:sz="4" w:space="0"/>
            </w:tcBorders>
            <w:vAlign w:val="center"/>
          </w:tcPr>
          <w:p w14:paraId="2A0EB1AE">
            <w:pPr>
              <w:spacing w:line="260" w:lineRule="exact"/>
              <w:ind w:firstLine="0" w:firstLineChars="0"/>
              <w:jc w:val="center"/>
              <w:rPr>
                <w:sz w:val="20"/>
                <w:szCs w:val="21"/>
              </w:rPr>
            </w:pPr>
            <w:r>
              <w:rPr>
                <w:rFonts w:hint="eastAsia"/>
                <w:sz w:val="20"/>
                <w:szCs w:val="21"/>
              </w:rPr>
              <w:t>城镇新增就业</w:t>
            </w:r>
            <w:r>
              <w:rPr>
                <w:sz w:val="20"/>
                <w:szCs w:val="21"/>
              </w:rPr>
              <w:t>1700</w:t>
            </w:r>
            <w:r>
              <w:rPr>
                <w:rFonts w:hint="eastAsia"/>
                <w:sz w:val="20"/>
                <w:szCs w:val="21"/>
              </w:rPr>
              <w:t>，农村劳动力转移输出</w:t>
            </w:r>
            <w:r>
              <w:rPr>
                <w:sz w:val="20"/>
                <w:szCs w:val="21"/>
              </w:rPr>
              <w:t>6000</w:t>
            </w:r>
          </w:p>
          <w:p w14:paraId="373A2189">
            <w:pPr>
              <w:spacing w:line="260" w:lineRule="exact"/>
              <w:ind w:firstLine="0" w:firstLineChars="0"/>
              <w:jc w:val="center"/>
              <w:rPr>
                <w:sz w:val="20"/>
                <w:szCs w:val="21"/>
              </w:rPr>
            </w:pPr>
            <w:r>
              <w:rPr>
                <w:rFonts w:hint="eastAsia"/>
                <w:sz w:val="20"/>
                <w:szCs w:val="21"/>
              </w:rPr>
              <w:t>（年均）</w:t>
            </w:r>
          </w:p>
        </w:tc>
        <w:tc>
          <w:tcPr>
            <w:tcW w:w="870" w:type="pct"/>
            <w:tcBorders>
              <w:top w:val="single" w:color="auto" w:sz="4" w:space="0"/>
              <w:left w:val="single" w:color="auto" w:sz="4" w:space="0"/>
              <w:bottom w:val="single" w:color="auto" w:sz="4" w:space="0"/>
              <w:right w:val="single" w:color="auto" w:sz="4" w:space="0"/>
            </w:tcBorders>
            <w:vAlign w:val="center"/>
          </w:tcPr>
          <w:p w14:paraId="5C9A30E2">
            <w:pPr>
              <w:spacing w:line="260" w:lineRule="exact"/>
              <w:ind w:firstLine="0" w:firstLineChars="0"/>
              <w:jc w:val="center"/>
              <w:rPr>
                <w:sz w:val="20"/>
                <w:szCs w:val="21"/>
              </w:rPr>
            </w:pPr>
            <w:r>
              <w:rPr>
                <w:rFonts w:hint="eastAsia"/>
                <w:sz w:val="20"/>
                <w:szCs w:val="21"/>
              </w:rPr>
              <w:t>城镇新增就业</w:t>
            </w:r>
            <w:r>
              <w:rPr>
                <w:sz w:val="20"/>
                <w:szCs w:val="21"/>
              </w:rPr>
              <w:t>1700</w:t>
            </w:r>
            <w:r>
              <w:rPr>
                <w:rFonts w:hint="eastAsia"/>
                <w:sz w:val="20"/>
                <w:szCs w:val="21"/>
              </w:rPr>
              <w:t>，农村劳动力转移输出</w:t>
            </w:r>
            <w:r>
              <w:rPr>
                <w:sz w:val="20"/>
                <w:szCs w:val="21"/>
              </w:rPr>
              <w:t>6000</w:t>
            </w:r>
          </w:p>
          <w:p w14:paraId="3C768A46">
            <w:pPr>
              <w:spacing w:line="260" w:lineRule="exact"/>
              <w:ind w:firstLine="0" w:firstLineChars="0"/>
              <w:jc w:val="center"/>
              <w:rPr>
                <w:sz w:val="20"/>
                <w:szCs w:val="21"/>
              </w:rPr>
            </w:pPr>
            <w:r>
              <w:rPr>
                <w:rFonts w:hint="eastAsia"/>
                <w:sz w:val="20"/>
                <w:szCs w:val="21"/>
              </w:rPr>
              <w:t>（年均）</w:t>
            </w:r>
          </w:p>
        </w:tc>
        <w:tc>
          <w:tcPr>
            <w:tcW w:w="496" w:type="pct"/>
            <w:tcBorders>
              <w:top w:val="single" w:color="auto" w:sz="4" w:space="0"/>
              <w:left w:val="single" w:color="auto" w:sz="4" w:space="0"/>
              <w:bottom w:val="single" w:color="auto" w:sz="4" w:space="0"/>
              <w:right w:val="single" w:color="auto" w:sz="4" w:space="0"/>
            </w:tcBorders>
            <w:vAlign w:val="center"/>
          </w:tcPr>
          <w:p w14:paraId="2403BA09">
            <w:pPr>
              <w:spacing w:line="260" w:lineRule="exact"/>
              <w:ind w:firstLine="0" w:firstLineChars="0"/>
              <w:jc w:val="center"/>
              <w:rPr>
                <w:sz w:val="21"/>
                <w:szCs w:val="21"/>
              </w:rPr>
            </w:pPr>
            <w:r>
              <w:rPr>
                <w:rFonts w:hint="eastAsia"/>
                <w:sz w:val="21"/>
                <w:szCs w:val="21"/>
              </w:rPr>
              <w:t>预期性</w:t>
            </w:r>
          </w:p>
        </w:tc>
      </w:tr>
      <w:tr w14:paraId="2A761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70A94300">
            <w:pPr>
              <w:spacing w:line="260" w:lineRule="exact"/>
              <w:ind w:firstLine="0" w:firstLineChars="0"/>
              <w:jc w:val="center"/>
              <w:rPr>
                <w:sz w:val="21"/>
                <w:szCs w:val="21"/>
              </w:rPr>
            </w:pPr>
            <w:bookmarkStart w:id="117" w:name="_Hlk206491310"/>
            <w:r>
              <w:rPr>
                <w:sz w:val="21"/>
                <w:szCs w:val="21"/>
              </w:rPr>
              <w:t>16</w:t>
            </w:r>
          </w:p>
        </w:tc>
        <w:tc>
          <w:tcPr>
            <w:tcW w:w="448" w:type="pct"/>
            <w:vMerge w:val="continue"/>
            <w:tcBorders>
              <w:left w:val="single" w:color="auto" w:sz="4" w:space="0"/>
              <w:right w:val="single" w:color="auto" w:sz="4" w:space="0"/>
            </w:tcBorders>
            <w:vAlign w:val="center"/>
          </w:tcPr>
          <w:p w14:paraId="065E3D2E">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5BB18781">
            <w:pPr>
              <w:spacing w:line="260" w:lineRule="exact"/>
              <w:ind w:firstLine="0" w:firstLineChars="0"/>
              <w:jc w:val="center"/>
              <w:rPr>
                <w:sz w:val="21"/>
                <w:szCs w:val="21"/>
              </w:rPr>
            </w:pPr>
            <w:r>
              <w:rPr>
                <w:rFonts w:hint="eastAsia"/>
                <w:sz w:val="21"/>
                <w:szCs w:val="21"/>
              </w:rPr>
              <w:t>劳动年龄人口平均受教育年限（年）</w:t>
            </w:r>
          </w:p>
        </w:tc>
        <w:tc>
          <w:tcPr>
            <w:tcW w:w="731" w:type="pct"/>
            <w:tcBorders>
              <w:top w:val="single" w:color="auto" w:sz="4" w:space="0"/>
              <w:left w:val="single" w:color="auto" w:sz="4" w:space="0"/>
              <w:bottom w:val="single" w:color="auto" w:sz="4" w:space="0"/>
              <w:right w:val="single" w:color="auto" w:sz="4" w:space="0"/>
            </w:tcBorders>
            <w:vAlign w:val="center"/>
          </w:tcPr>
          <w:p w14:paraId="71F82DA1">
            <w:pPr>
              <w:spacing w:line="260" w:lineRule="exact"/>
              <w:ind w:firstLine="0" w:firstLineChars="0"/>
              <w:jc w:val="center"/>
              <w:rPr>
                <w:sz w:val="21"/>
                <w:szCs w:val="21"/>
              </w:rPr>
            </w:pPr>
            <w:r>
              <w:rPr>
                <w:sz w:val="21"/>
                <w:szCs w:val="21"/>
              </w:rPr>
              <w:t>11.8</w:t>
            </w:r>
          </w:p>
        </w:tc>
        <w:tc>
          <w:tcPr>
            <w:tcW w:w="870" w:type="pct"/>
            <w:tcBorders>
              <w:top w:val="single" w:color="auto" w:sz="4" w:space="0"/>
              <w:left w:val="single" w:color="auto" w:sz="4" w:space="0"/>
              <w:bottom w:val="single" w:color="auto" w:sz="4" w:space="0"/>
              <w:right w:val="single" w:color="auto" w:sz="4" w:space="0"/>
            </w:tcBorders>
            <w:vAlign w:val="center"/>
          </w:tcPr>
          <w:p w14:paraId="787629A1">
            <w:pPr>
              <w:spacing w:line="260" w:lineRule="exact"/>
              <w:ind w:firstLine="0" w:firstLineChars="0"/>
              <w:jc w:val="center"/>
              <w:rPr>
                <w:sz w:val="21"/>
                <w:szCs w:val="21"/>
              </w:rPr>
            </w:pPr>
            <w:r>
              <w:rPr>
                <w:sz w:val="21"/>
                <w:szCs w:val="21"/>
              </w:rPr>
              <w:t>12</w:t>
            </w:r>
          </w:p>
        </w:tc>
        <w:tc>
          <w:tcPr>
            <w:tcW w:w="496" w:type="pct"/>
            <w:tcBorders>
              <w:top w:val="single" w:color="auto" w:sz="4" w:space="0"/>
              <w:left w:val="single" w:color="auto" w:sz="4" w:space="0"/>
              <w:bottom w:val="single" w:color="auto" w:sz="4" w:space="0"/>
              <w:right w:val="single" w:color="auto" w:sz="4" w:space="0"/>
            </w:tcBorders>
            <w:vAlign w:val="center"/>
          </w:tcPr>
          <w:p w14:paraId="3E35C0C9">
            <w:pPr>
              <w:spacing w:line="260" w:lineRule="exact"/>
              <w:ind w:firstLine="0" w:firstLineChars="0"/>
              <w:jc w:val="center"/>
              <w:rPr>
                <w:sz w:val="21"/>
                <w:szCs w:val="21"/>
              </w:rPr>
            </w:pPr>
            <w:r>
              <w:rPr>
                <w:rFonts w:hint="eastAsia"/>
                <w:sz w:val="21"/>
                <w:szCs w:val="21"/>
              </w:rPr>
              <w:t>预期性</w:t>
            </w:r>
          </w:p>
        </w:tc>
      </w:tr>
      <w:tr w14:paraId="4AEBB5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5078BE1F">
            <w:pPr>
              <w:spacing w:line="260" w:lineRule="exact"/>
              <w:ind w:firstLine="0" w:firstLineChars="0"/>
              <w:jc w:val="center"/>
              <w:rPr>
                <w:sz w:val="21"/>
                <w:szCs w:val="21"/>
              </w:rPr>
            </w:pPr>
            <w:r>
              <w:rPr>
                <w:sz w:val="21"/>
                <w:szCs w:val="21"/>
              </w:rPr>
              <w:t>17</w:t>
            </w:r>
          </w:p>
        </w:tc>
        <w:tc>
          <w:tcPr>
            <w:tcW w:w="448" w:type="pct"/>
            <w:vMerge w:val="continue"/>
            <w:tcBorders>
              <w:left w:val="single" w:color="auto" w:sz="4" w:space="0"/>
              <w:right w:val="single" w:color="auto" w:sz="4" w:space="0"/>
            </w:tcBorders>
            <w:vAlign w:val="center"/>
          </w:tcPr>
          <w:p w14:paraId="67135AC1">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5CB53C94">
            <w:pPr>
              <w:spacing w:line="260" w:lineRule="exact"/>
              <w:ind w:firstLine="0" w:firstLineChars="0"/>
              <w:jc w:val="center"/>
              <w:rPr>
                <w:sz w:val="21"/>
                <w:szCs w:val="21"/>
              </w:rPr>
            </w:pPr>
            <w:bookmarkStart w:id="118" w:name="OLE_LINK111"/>
            <w:bookmarkStart w:id="119" w:name="OLE_LINK112"/>
            <w:r>
              <w:rPr>
                <w:rFonts w:hint="eastAsia"/>
                <w:sz w:val="21"/>
                <w:szCs w:val="21"/>
              </w:rPr>
              <w:t>每千人口拥有执业（助理）医师数</w:t>
            </w:r>
            <w:bookmarkEnd w:id="118"/>
            <w:bookmarkEnd w:id="119"/>
            <w:r>
              <w:rPr>
                <w:rFonts w:hint="eastAsia"/>
                <w:sz w:val="21"/>
                <w:szCs w:val="21"/>
              </w:rPr>
              <w:t>（人）</w:t>
            </w:r>
          </w:p>
        </w:tc>
        <w:tc>
          <w:tcPr>
            <w:tcW w:w="731" w:type="pct"/>
            <w:tcBorders>
              <w:top w:val="single" w:color="auto" w:sz="4" w:space="0"/>
              <w:left w:val="single" w:color="auto" w:sz="4" w:space="0"/>
              <w:bottom w:val="single" w:color="auto" w:sz="4" w:space="0"/>
              <w:right w:val="single" w:color="auto" w:sz="4" w:space="0"/>
            </w:tcBorders>
            <w:vAlign w:val="center"/>
          </w:tcPr>
          <w:p w14:paraId="017B239F">
            <w:pPr>
              <w:spacing w:line="260" w:lineRule="exact"/>
              <w:ind w:firstLine="0" w:firstLineChars="0"/>
              <w:jc w:val="center"/>
              <w:rPr>
                <w:sz w:val="21"/>
                <w:szCs w:val="21"/>
              </w:rPr>
            </w:pPr>
            <w:r>
              <w:rPr>
                <w:sz w:val="21"/>
                <w:szCs w:val="21"/>
              </w:rPr>
              <w:t>3.8</w:t>
            </w:r>
          </w:p>
        </w:tc>
        <w:tc>
          <w:tcPr>
            <w:tcW w:w="870" w:type="pct"/>
            <w:tcBorders>
              <w:top w:val="single" w:color="auto" w:sz="4" w:space="0"/>
              <w:left w:val="single" w:color="auto" w:sz="4" w:space="0"/>
              <w:bottom w:val="single" w:color="auto" w:sz="4" w:space="0"/>
              <w:right w:val="single" w:color="auto" w:sz="4" w:space="0"/>
            </w:tcBorders>
            <w:vAlign w:val="center"/>
          </w:tcPr>
          <w:p w14:paraId="2FEAFEEC">
            <w:pPr>
              <w:spacing w:line="260" w:lineRule="exact"/>
              <w:ind w:firstLine="0" w:firstLineChars="0"/>
              <w:jc w:val="center"/>
              <w:rPr>
                <w:sz w:val="21"/>
                <w:szCs w:val="21"/>
              </w:rPr>
            </w:pPr>
            <w:r>
              <w:rPr>
                <w:sz w:val="21"/>
                <w:szCs w:val="21"/>
              </w:rPr>
              <w:t>4.0</w:t>
            </w:r>
          </w:p>
        </w:tc>
        <w:tc>
          <w:tcPr>
            <w:tcW w:w="496" w:type="pct"/>
            <w:tcBorders>
              <w:top w:val="single" w:color="auto" w:sz="4" w:space="0"/>
              <w:left w:val="single" w:color="auto" w:sz="4" w:space="0"/>
              <w:bottom w:val="single" w:color="auto" w:sz="4" w:space="0"/>
              <w:right w:val="single" w:color="auto" w:sz="4" w:space="0"/>
            </w:tcBorders>
            <w:vAlign w:val="center"/>
          </w:tcPr>
          <w:p w14:paraId="7CA71F62">
            <w:pPr>
              <w:spacing w:line="260" w:lineRule="exact"/>
              <w:ind w:firstLine="0" w:firstLineChars="0"/>
              <w:jc w:val="center"/>
              <w:rPr>
                <w:sz w:val="21"/>
                <w:szCs w:val="21"/>
              </w:rPr>
            </w:pPr>
            <w:r>
              <w:rPr>
                <w:rFonts w:hint="eastAsia"/>
                <w:sz w:val="21"/>
                <w:szCs w:val="21"/>
              </w:rPr>
              <w:t>预期性</w:t>
            </w:r>
          </w:p>
        </w:tc>
      </w:tr>
      <w:bookmarkEnd w:id="117"/>
      <w:tr w14:paraId="55B82C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5D03BF5B">
            <w:pPr>
              <w:spacing w:line="260" w:lineRule="exact"/>
              <w:ind w:firstLine="0" w:firstLineChars="0"/>
              <w:jc w:val="center"/>
              <w:rPr>
                <w:sz w:val="21"/>
                <w:szCs w:val="21"/>
              </w:rPr>
            </w:pPr>
            <w:r>
              <w:rPr>
                <w:rFonts w:hint="eastAsia"/>
                <w:sz w:val="21"/>
                <w:szCs w:val="21"/>
              </w:rPr>
              <w:t>1</w:t>
            </w:r>
            <w:r>
              <w:rPr>
                <w:sz w:val="21"/>
                <w:szCs w:val="21"/>
              </w:rPr>
              <w:t>8</w:t>
            </w:r>
          </w:p>
        </w:tc>
        <w:tc>
          <w:tcPr>
            <w:tcW w:w="448" w:type="pct"/>
            <w:vMerge w:val="continue"/>
            <w:tcBorders>
              <w:left w:val="single" w:color="auto" w:sz="4" w:space="0"/>
              <w:right w:val="single" w:color="auto" w:sz="4" w:space="0"/>
            </w:tcBorders>
            <w:vAlign w:val="center"/>
          </w:tcPr>
          <w:p w14:paraId="1EB340CA">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047F0255">
            <w:pPr>
              <w:spacing w:line="260" w:lineRule="exact"/>
              <w:ind w:firstLine="0" w:firstLineChars="0"/>
              <w:jc w:val="center"/>
              <w:rPr>
                <w:sz w:val="21"/>
                <w:szCs w:val="21"/>
              </w:rPr>
            </w:pPr>
            <w:bookmarkStart w:id="120" w:name="OLE_LINK48"/>
            <w:bookmarkStart w:id="121" w:name="OLE_LINK47"/>
            <w:r>
              <w:rPr>
                <w:rFonts w:hint="eastAsia"/>
                <w:sz w:val="21"/>
                <w:szCs w:val="21"/>
              </w:rPr>
              <w:t>每千人拥有</w:t>
            </w:r>
            <w:r>
              <w:rPr>
                <w:sz w:val="21"/>
                <w:szCs w:val="21"/>
              </w:rPr>
              <w:t>3</w:t>
            </w:r>
            <w:r>
              <w:rPr>
                <w:rFonts w:hint="eastAsia"/>
                <w:sz w:val="21"/>
                <w:szCs w:val="21"/>
              </w:rPr>
              <w:t>岁以下婴幼儿托位数（个）</w:t>
            </w:r>
            <w:bookmarkEnd w:id="120"/>
            <w:bookmarkEnd w:id="121"/>
          </w:p>
        </w:tc>
        <w:tc>
          <w:tcPr>
            <w:tcW w:w="731" w:type="pct"/>
            <w:tcBorders>
              <w:top w:val="single" w:color="auto" w:sz="4" w:space="0"/>
              <w:left w:val="single" w:color="auto" w:sz="4" w:space="0"/>
              <w:bottom w:val="single" w:color="auto" w:sz="4" w:space="0"/>
              <w:right w:val="single" w:color="auto" w:sz="4" w:space="0"/>
            </w:tcBorders>
            <w:vAlign w:val="center"/>
          </w:tcPr>
          <w:p w14:paraId="7736AA3B">
            <w:pPr>
              <w:spacing w:line="260" w:lineRule="exact"/>
              <w:ind w:firstLine="0" w:firstLineChars="0"/>
              <w:jc w:val="center"/>
              <w:rPr>
                <w:sz w:val="21"/>
                <w:szCs w:val="21"/>
              </w:rPr>
            </w:pPr>
            <w:r>
              <w:rPr>
                <w:sz w:val="21"/>
                <w:szCs w:val="21"/>
              </w:rPr>
              <w:t>4.5</w:t>
            </w:r>
          </w:p>
        </w:tc>
        <w:tc>
          <w:tcPr>
            <w:tcW w:w="870" w:type="pct"/>
            <w:tcBorders>
              <w:top w:val="single" w:color="auto" w:sz="4" w:space="0"/>
              <w:left w:val="single" w:color="auto" w:sz="4" w:space="0"/>
              <w:bottom w:val="single" w:color="auto" w:sz="4" w:space="0"/>
              <w:right w:val="single" w:color="auto" w:sz="4" w:space="0"/>
            </w:tcBorders>
            <w:vAlign w:val="center"/>
          </w:tcPr>
          <w:p w14:paraId="6C912DEB">
            <w:pPr>
              <w:spacing w:line="260" w:lineRule="exact"/>
              <w:ind w:firstLine="0" w:firstLineChars="0"/>
              <w:jc w:val="center"/>
              <w:rPr>
                <w:sz w:val="21"/>
                <w:szCs w:val="21"/>
              </w:rPr>
            </w:pPr>
            <w:r>
              <w:rPr>
                <w:sz w:val="21"/>
                <w:szCs w:val="21"/>
              </w:rPr>
              <w:t>5</w:t>
            </w:r>
          </w:p>
        </w:tc>
        <w:tc>
          <w:tcPr>
            <w:tcW w:w="496" w:type="pct"/>
            <w:tcBorders>
              <w:top w:val="single" w:color="auto" w:sz="4" w:space="0"/>
              <w:left w:val="single" w:color="auto" w:sz="4" w:space="0"/>
              <w:bottom w:val="single" w:color="auto" w:sz="4" w:space="0"/>
              <w:right w:val="single" w:color="auto" w:sz="4" w:space="0"/>
            </w:tcBorders>
            <w:vAlign w:val="center"/>
          </w:tcPr>
          <w:p w14:paraId="588B4951">
            <w:pPr>
              <w:spacing w:line="260" w:lineRule="exact"/>
              <w:ind w:firstLine="0" w:firstLineChars="0"/>
              <w:jc w:val="center"/>
              <w:rPr>
                <w:sz w:val="21"/>
                <w:szCs w:val="21"/>
              </w:rPr>
            </w:pPr>
            <w:r>
              <w:rPr>
                <w:rFonts w:hint="eastAsia"/>
                <w:sz w:val="21"/>
                <w:szCs w:val="21"/>
              </w:rPr>
              <w:t>预期性</w:t>
            </w:r>
          </w:p>
        </w:tc>
      </w:tr>
      <w:tr w14:paraId="4029A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7330227A">
            <w:pPr>
              <w:spacing w:line="260" w:lineRule="exact"/>
              <w:ind w:firstLine="0" w:firstLineChars="0"/>
              <w:jc w:val="center"/>
              <w:rPr>
                <w:sz w:val="21"/>
                <w:szCs w:val="21"/>
              </w:rPr>
            </w:pPr>
            <w:r>
              <w:rPr>
                <w:sz w:val="21"/>
                <w:szCs w:val="21"/>
              </w:rPr>
              <w:t>19</w:t>
            </w:r>
          </w:p>
        </w:tc>
        <w:tc>
          <w:tcPr>
            <w:tcW w:w="448" w:type="pct"/>
            <w:vMerge w:val="continue"/>
            <w:tcBorders>
              <w:left w:val="single" w:color="auto" w:sz="4" w:space="0"/>
              <w:right w:val="single" w:color="auto" w:sz="4" w:space="0"/>
            </w:tcBorders>
            <w:vAlign w:val="center"/>
          </w:tcPr>
          <w:p w14:paraId="09B4B4E0">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3C12C48">
            <w:pPr>
              <w:spacing w:line="260" w:lineRule="exact"/>
              <w:ind w:firstLine="0" w:firstLineChars="0"/>
              <w:jc w:val="center"/>
              <w:rPr>
                <w:sz w:val="21"/>
                <w:szCs w:val="21"/>
              </w:rPr>
            </w:pPr>
            <w:bookmarkStart w:id="122" w:name="OLE_LINK113"/>
            <w:bookmarkStart w:id="123" w:name="OLE_LINK56"/>
            <w:bookmarkStart w:id="124" w:name="OLE_LINK57"/>
            <w:r>
              <w:rPr>
                <w:rFonts w:hint="eastAsia"/>
                <w:sz w:val="21"/>
                <w:szCs w:val="21"/>
              </w:rPr>
              <w:t>养老机构护理型床位占比</w:t>
            </w:r>
            <w:bookmarkEnd w:id="122"/>
            <w:r>
              <w:rPr>
                <w:rFonts w:hint="eastAsia"/>
                <w:sz w:val="21"/>
                <w:szCs w:val="21"/>
              </w:rPr>
              <w:t>（</w:t>
            </w:r>
            <w:r>
              <w:rPr>
                <w:sz w:val="21"/>
                <w:szCs w:val="21"/>
              </w:rPr>
              <w:t>%</w:t>
            </w:r>
            <w:r>
              <w:rPr>
                <w:rFonts w:hint="eastAsia"/>
                <w:sz w:val="21"/>
                <w:szCs w:val="21"/>
              </w:rPr>
              <w:t>）</w:t>
            </w:r>
            <w:bookmarkEnd w:id="123"/>
            <w:bookmarkEnd w:id="124"/>
          </w:p>
        </w:tc>
        <w:tc>
          <w:tcPr>
            <w:tcW w:w="731" w:type="pct"/>
            <w:tcBorders>
              <w:top w:val="single" w:color="auto" w:sz="4" w:space="0"/>
              <w:left w:val="single" w:color="auto" w:sz="4" w:space="0"/>
              <w:bottom w:val="single" w:color="auto" w:sz="4" w:space="0"/>
              <w:right w:val="single" w:color="auto" w:sz="4" w:space="0"/>
            </w:tcBorders>
            <w:vAlign w:val="center"/>
          </w:tcPr>
          <w:p w14:paraId="548B9940">
            <w:pPr>
              <w:spacing w:line="260" w:lineRule="exact"/>
              <w:ind w:firstLine="0" w:firstLineChars="0"/>
              <w:jc w:val="center"/>
              <w:rPr>
                <w:sz w:val="21"/>
                <w:szCs w:val="21"/>
              </w:rPr>
            </w:pPr>
            <w:r>
              <w:rPr>
                <w:sz w:val="21"/>
                <w:szCs w:val="21"/>
              </w:rPr>
              <w:t>63</w:t>
            </w:r>
          </w:p>
        </w:tc>
        <w:tc>
          <w:tcPr>
            <w:tcW w:w="870" w:type="pct"/>
            <w:tcBorders>
              <w:top w:val="single" w:color="auto" w:sz="4" w:space="0"/>
              <w:left w:val="single" w:color="auto" w:sz="4" w:space="0"/>
              <w:bottom w:val="single" w:color="auto" w:sz="4" w:space="0"/>
              <w:right w:val="single" w:color="auto" w:sz="4" w:space="0"/>
            </w:tcBorders>
            <w:vAlign w:val="center"/>
          </w:tcPr>
          <w:p w14:paraId="6C779AE6">
            <w:pPr>
              <w:spacing w:line="260" w:lineRule="exact"/>
              <w:ind w:firstLine="0" w:firstLineChars="0"/>
              <w:jc w:val="center"/>
              <w:rPr>
                <w:sz w:val="21"/>
                <w:szCs w:val="21"/>
              </w:rPr>
            </w:pPr>
            <w:r>
              <w:rPr>
                <w:sz w:val="21"/>
                <w:szCs w:val="21"/>
              </w:rPr>
              <w:t>80</w:t>
            </w:r>
          </w:p>
        </w:tc>
        <w:tc>
          <w:tcPr>
            <w:tcW w:w="496" w:type="pct"/>
            <w:tcBorders>
              <w:top w:val="single" w:color="auto" w:sz="4" w:space="0"/>
              <w:left w:val="single" w:color="auto" w:sz="4" w:space="0"/>
              <w:bottom w:val="single" w:color="auto" w:sz="4" w:space="0"/>
              <w:right w:val="single" w:color="auto" w:sz="4" w:space="0"/>
            </w:tcBorders>
            <w:vAlign w:val="center"/>
          </w:tcPr>
          <w:p w14:paraId="0B8566D0">
            <w:pPr>
              <w:spacing w:line="260" w:lineRule="exact"/>
              <w:ind w:firstLine="0" w:firstLineChars="0"/>
              <w:jc w:val="center"/>
              <w:rPr>
                <w:sz w:val="21"/>
                <w:szCs w:val="21"/>
              </w:rPr>
            </w:pPr>
            <w:r>
              <w:rPr>
                <w:rFonts w:hint="eastAsia"/>
                <w:sz w:val="21"/>
                <w:szCs w:val="21"/>
              </w:rPr>
              <w:t>预期性</w:t>
            </w:r>
          </w:p>
        </w:tc>
      </w:tr>
      <w:tr w14:paraId="2D4640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3E550DB4">
            <w:pPr>
              <w:spacing w:line="260" w:lineRule="exact"/>
              <w:ind w:firstLine="0" w:firstLineChars="0"/>
              <w:jc w:val="center"/>
              <w:rPr>
                <w:sz w:val="21"/>
                <w:szCs w:val="21"/>
              </w:rPr>
            </w:pPr>
            <w:r>
              <w:rPr>
                <w:sz w:val="21"/>
                <w:szCs w:val="21"/>
              </w:rPr>
              <w:t>20</w:t>
            </w:r>
          </w:p>
        </w:tc>
        <w:tc>
          <w:tcPr>
            <w:tcW w:w="448" w:type="pct"/>
            <w:vMerge w:val="continue"/>
            <w:tcBorders>
              <w:left w:val="single" w:color="auto" w:sz="4" w:space="0"/>
              <w:bottom w:val="single" w:color="auto" w:sz="4" w:space="0"/>
              <w:right w:val="single" w:color="auto" w:sz="4" w:space="0"/>
            </w:tcBorders>
            <w:vAlign w:val="center"/>
          </w:tcPr>
          <w:p w14:paraId="364FC54B">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21C05CE">
            <w:pPr>
              <w:spacing w:line="260" w:lineRule="exact"/>
              <w:ind w:firstLine="0" w:firstLineChars="0"/>
              <w:jc w:val="center"/>
              <w:rPr>
                <w:sz w:val="21"/>
                <w:szCs w:val="21"/>
              </w:rPr>
            </w:pPr>
            <w:r>
              <w:rPr>
                <w:rFonts w:hint="eastAsia"/>
                <w:sz w:val="21"/>
                <w:szCs w:val="21"/>
              </w:rPr>
              <w:t>居民医疗保险覆盖率（</w:t>
            </w:r>
            <w:r>
              <w:rPr>
                <w:sz w:val="21"/>
                <w:szCs w:val="21"/>
              </w:rPr>
              <w:t>%</w:t>
            </w:r>
            <w:r>
              <w:rPr>
                <w:rFonts w:hint="eastAsia"/>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4E4B3CFB">
            <w:pPr>
              <w:spacing w:line="260" w:lineRule="exact"/>
              <w:ind w:firstLine="0" w:firstLineChars="0"/>
              <w:jc w:val="center"/>
              <w:rPr>
                <w:sz w:val="21"/>
                <w:szCs w:val="21"/>
              </w:rPr>
            </w:pPr>
            <w:r>
              <w:rPr>
                <w:rFonts w:hint="eastAsia"/>
                <w:sz w:val="21"/>
                <w:szCs w:val="21"/>
              </w:rPr>
              <w:t>9</w:t>
            </w:r>
            <w:r>
              <w:rPr>
                <w:sz w:val="21"/>
                <w:szCs w:val="21"/>
              </w:rPr>
              <w:t>7</w:t>
            </w:r>
          </w:p>
        </w:tc>
        <w:tc>
          <w:tcPr>
            <w:tcW w:w="870" w:type="pct"/>
            <w:tcBorders>
              <w:top w:val="single" w:color="auto" w:sz="4" w:space="0"/>
              <w:left w:val="single" w:color="auto" w:sz="4" w:space="0"/>
              <w:bottom w:val="single" w:color="auto" w:sz="4" w:space="0"/>
              <w:right w:val="single" w:color="auto" w:sz="4" w:space="0"/>
            </w:tcBorders>
            <w:vAlign w:val="center"/>
          </w:tcPr>
          <w:p w14:paraId="6195B00E">
            <w:pPr>
              <w:spacing w:line="260" w:lineRule="exact"/>
              <w:ind w:firstLine="0" w:firstLineChars="0"/>
              <w:jc w:val="center"/>
              <w:rPr>
                <w:sz w:val="21"/>
                <w:szCs w:val="21"/>
              </w:rPr>
            </w:pPr>
            <w:r>
              <w:rPr>
                <w:rFonts w:hint="eastAsia"/>
                <w:sz w:val="21"/>
                <w:szCs w:val="21"/>
              </w:rPr>
              <w:t>9</w:t>
            </w:r>
            <w:r>
              <w:rPr>
                <w:sz w:val="21"/>
                <w:szCs w:val="21"/>
              </w:rPr>
              <w:t>8</w:t>
            </w:r>
          </w:p>
        </w:tc>
        <w:tc>
          <w:tcPr>
            <w:tcW w:w="496" w:type="pct"/>
            <w:tcBorders>
              <w:top w:val="single" w:color="auto" w:sz="4" w:space="0"/>
              <w:left w:val="single" w:color="auto" w:sz="4" w:space="0"/>
              <w:bottom w:val="single" w:color="auto" w:sz="4" w:space="0"/>
              <w:right w:val="single" w:color="auto" w:sz="4" w:space="0"/>
            </w:tcBorders>
            <w:vAlign w:val="center"/>
          </w:tcPr>
          <w:p w14:paraId="6C73C00C">
            <w:pPr>
              <w:spacing w:line="260" w:lineRule="exact"/>
              <w:ind w:firstLine="0" w:firstLineChars="0"/>
              <w:jc w:val="center"/>
              <w:rPr>
                <w:sz w:val="21"/>
                <w:szCs w:val="21"/>
              </w:rPr>
            </w:pPr>
            <w:r>
              <w:rPr>
                <w:rFonts w:hint="eastAsia"/>
                <w:sz w:val="21"/>
                <w:szCs w:val="21"/>
              </w:rPr>
              <w:t>预期性</w:t>
            </w:r>
          </w:p>
        </w:tc>
      </w:tr>
      <w:tr w14:paraId="6A724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 w:hRule="atLeast"/>
          <w:jc w:val="center"/>
        </w:trPr>
        <w:tc>
          <w:tcPr>
            <w:tcW w:w="370" w:type="pct"/>
            <w:tcBorders>
              <w:top w:val="single" w:color="auto" w:sz="4" w:space="0"/>
              <w:left w:val="single" w:color="auto" w:sz="4" w:space="0"/>
              <w:right w:val="single" w:color="auto" w:sz="4" w:space="0"/>
            </w:tcBorders>
            <w:vAlign w:val="center"/>
          </w:tcPr>
          <w:p w14:paraId="6D8419E0">
            <w:pPr>
              <w:spacing w:line="260" w:lineRule="exact"/>
              <w:ind w:firstLine="0" w:firstLineChars="0"/>
              <w:jc w:val="center"/>
              <w:rPr>
                <w:sz w:val="21"/>
                <w:szCs w:val="21"/>
              </w:rPr>
            </w:pPr>
            <w:r>
              <w:rPr>
                <w:rFonts w:hint="eastAsia"/>
                <w:sz w:val="21"/>
                <w:szCs w:val="21"/>
              </w:rPr>
              <w:t>2</w:t>
            </w:r>
            <w:r>
              <w:rPr>
                <w:sz w:val="21"/>
                <w:szCs w:val="21"/>
              </w:rPr>
              <w:t>1</w:t>
            </w:r>
          </w:p>
        </w:tc>
        <w:tc>
          <w:tcPr>
            <w:tcW w:w="448" w:type="pct"/>
            <w:vMerge w:val="restart"/>
            <w:tcBorders>
              <w:top w:val="single" w:color="auto" w:sz="4" w:space="0"/>
              <w:left w:val="single" w:color="auto" w:sz="4" w:space="0"/>
              <w:bottom w:val="single" w:color="auto" w:sz="4" w:space="0"/>
              <w:right w:val="single" w:color="auto" w:sz="4" w:space="0"/>
            </w:tcBorders>
            <w:vAlign w:val="center"/>
          </w:tcPr>
          <w:p w14:paraId="663AB0D2">
            <w:pPr>
              <w:spacing w:line="260" w:lineRule="exact"/>
              <w:ind w:firstLine="0" w:firstLineChars="0"/>
              <w:jc w:val="center"/>
              <w:rPr>
                <w:sz w:val="21"/>
                <w:szCs w:val="21"/>
              </w:rPr>
            </w:pPr>
            <w:r>
              <w:rPr>
                <w:rFonts w:hint="eastAsia"/>
                <w:sz w:val="21"/>
                <w:szCs w:val="21"/>
              </w:rPr>
              <w:t>绿色生态</w:t>
            </w:r>
          </w:p>
        </w:tc>
        <w:tc>
          <w:tcPr>
            <w:tcW w:w="2082" w:type="pct"/>
            <w:tcBorders>
              <w:top w:val="single" w:color="auto" w:sz="4" w:space="0"/>
              <w:left w:val="single" w:color="auto" w:sz="4" w:space="0"/>
              <w:right w:val="single" w:color="auto" w:sz="4" w:space="0"/>
            </w:tcBorders>
            <w:vAlign w:val="center"/>
          </w:tcPr>
          <w:p w14:paraId="532BFB2E">
            <w:pPr>
              <w:spacing w:line="260" w:lineRule="exact"/>
              <w:ind w:firstLine="420"/>
              <w:jc w:val="center"/>
              <w:rPr>
                <w:sz w:val="21"/>
                <w:szCs w:val="21"/>
              </w:rPr>
            </w:pPr>
            <w:bookmarkStart w:id="125" w:name="_Hlk214633155"/>
            <w:r>
              <w:rPr>
                <w:rFonts w:hint="eastAsia"/>
                <w:sz w:val="21"/>
                <w:szCs w:val="21"/>
              </w:rPr>
              <w:t>空气质量优良天数比率</w:t>
            </w:r>
            <w:bookmarkEnd w:id="125"/>
            <w:r>
              <w:rPr>
                <w:rFonts w:hint="eastAsia"/>
                <w:sz w:val="21"/>
                <w:szCs w:val="21"/>
              </w:rPr>
              <w:t>（</w:t>
            </w:r>
            <w:r>
              <w:rPr>
                <w:sz w:val="21"/>
                <w:szCs w:val="21"/>
              </w:rPr>
              <w:t>%</w:t>
            </w:r>
            <w:r>
              <w:rPr>
                <w:rFonts w:hint="eastAsia"/>
                <w:sz w:val="21"/>
                <w:szCs w:val="21"/>
              </w:rPr>
              <w:t>）</w:t>
            </w:r>
          </w:p>
        </w:tc>
        <w:tc>
          <w:tcPr>
            <w:tcW w:w="731" w:type="pct"/>
            <w:tcBorders>
              <w:top w:val="single" w:color="auto" w:sz="4" w:space="0"/>
              <w:left w:val="single" w:color="auto" w:sz="4" w:space="0"/>
              <w:right w:val="single" w:color="auto" w:sz="4" w:space="0"/>
            </w:tcBorders>
            <w:vAlign w:val="center"/>
          </w:tcPr>
          <w:p w14:paraId="4470BBA5">
            <w:pPr>
              <w:spacing w:line="260" w:lineRule="exact"/>
              <w:ind w:firstLine="0" w:firstLineChars="0"/>
              <w:jc w:val="center"/>
              <w:rPr>
                <w:sz w:val="21"/>
                <w:szCs w:val="21"/>
              </w:rPr>
            </w:pPr>
            <w:r>
              <w:rPr>
                <w:sz w:val="21"/>
                <w:szCs w:val="21"/>
              </w:rPr>
              <w:t>85</w:t>
            </w:r>
          </w:p>
        </w:tc>
        <w:tc>
          <w:tcPr>
            <w:tcW w:w="870" w:type="pct"/>
            <w:tcBorders>
              <w:top w:val="single" w:color="auto" w:sz="4" w:space="0"/>
              <w:left w:val="single" w:color="auto" w:sz="4" w:space="0"/>
              <w:right w:val="single" w:color="auto" w:sz="4" w:space="0"/>
            </w:tcBorders>
            <w:vAlign w:val="center"/>
          </w:tcPr>
          <w:p w14:paraId="5D355A42">
            <w:pPr>
              <w:spacing w:line="260" w:lineRule="exact"/>
              <w:ind w:firstLine="0" w:firstLineChars="0"/>
              <w:jc w:val="center"/>
              <w:rPr>
                <w:sz w:val="21"/>
                <w:szCs w:val="21"/>
              </w:rPr>
            </w:pPr>
            <w:r>
              <w:rPr>
                <w:sz w:val="21"/>
                <w:szCs w:val="21"/>
              </w:rPr>
              <w:t>8</w:t>
            </w:r>
            <w:r>
              <w:rPr>
                <w:rFonts w:hint="eastAsia"/>
                <w:sz w:val="21"/>
                <w:szCs w:val="21"/>
              </w:rPr>
              <w:t>5</w:t>
            </w:r>
          </w:p>
        </w:tc>
        <w:tc>
          <w:tcPr>
            <w:tcW w:w="496" w:type="pct"/>
            <w:tcBorders>
              <w:top w:val="single" w:color="auto" w:sz="4" w:space="0"/>
              <w:left w:val="single" w:color="auto" w:sz="4" w:space="0"/>
              <w:right w:val="single" w:color="auto" w:sz="4" w:space="0"/>
            </w:tcBorders>
            <w:vAlign w:val="center"/>
          </w:tcPr>
          <w:p w14:paraId="08427F17">
            <w:pPr>
              <w:spacing w:line="260" w:lineRule="exact"/>
              <w:ind w:firstLine="0" w:firstLineChars="0"/>
              <w:jc w:val="center"/>
              <w:rPr>
                <w:sz w:val="21"/>
                <w:szCs w:val="21"/>
              </w:rPr>
            </w:pPr>
            <w:r>
              <w:rPr>
                <w:rFonts w:hint="eastAsia"/>
                <w:sz w:val="21"/>
                <w:szCs w:val="21"/>
              </w:rPr>
              <w:t>约束性</w:t>
            </w:r>
          </w:p>
        </w:tc>
      </w:tr>
      <w:tr w14:paraId="3E651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32A355B9">
            <w:pPr>
              <w:spacing w:line="260" w:lineRule="exact"/>
              <w:ind w:firstLine="0" w:firstLineChars="0"/>
              <w:jc w:val="center"/>
              <w:rPr>
                <w:sz w:val="21"/>
                <w:szCs w:val="21"/>
              </w:rPr>
            </w:pPr>
            <w:r>
              <w:rPr>
                <w:sz w:val="21"/>
                <w:szCs w:val="21"/>
              </w:rPr>
              <w:t>22</w:t>
            </w:r>
          </w:p>
        </w:tc>
        <w:tc>
          <w:tcPr>
            <w:tcW w:w="448" w:type="pct"/>
            <w:vMerge w:val="continue"/>
            <w:tcBorders>
              <w:top w:val="single" w:color="auto" w:sz="4" w:space="0"/>
              <w:left w:val="single" w:color="auto" w:sz="4" w:space="0"/>
              <w:bottom w:val="single" w:color="auto" w:sz="4" w:space="0"/>
              <w:right w:val="single" w:color="auto" w:sz="4" w:space="0"/>
            </w:tcBorders>
            <w:vAlign w:val="center"/>
          </w:tcPr>
          <w:p w14:paraId="6E26A5C1">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476C16B">
            <w:pPr>
              <w:spacing w:line="260" w:lineRule="exact"/>
              <w:ind w:firstLine="0" w:firstLineChars="0"/>
              <w:jc w:val="center"/>
              <w:rPr>
                <w:sz w:val="21"/>
                <w:szCs w:val="21"/>
              </w:rPr>
            </w:pPr>
            <w:bookmarkStart w:id="126" w:name="OLE_LINK114"/>
            <w:bookmarkStart w:id="127" w:name="OLE_LINK127"/>
            <w:r>
              <w:rPr>
                <w:rFonts w:hint="eastAsia"/>
                <w:sz w:val="21"/>
                <w:szCs w:val="21"/>
              </w:rPr>
              <w:t>细颗粒物（</w:t>
            </w:r>
            <w:r>
              <w:rPr>
                <w:sz w:val="21"/>
                <w:szCs w:val="21"/>
              </w:rPr>
              <w:t>PM2.5</w:t>
            </w:r>
            <w:r>
              <w:rPr>
                <w:rFonts w:hint="eastAsia"/>
                <w:sz w:val="21"/>
                <w:szCs w:val="21"/>
              </w:rPr>
              <w:t>）浓度</w:t>
            </w:r>
            <w:bookmarkEnd w:id="126"/>
            <w:bookmarkEnd w:id="127"/>
            <w:r>
              <w:rPr>
                <w:rFonts w:hint="eastAsia"/>
                <w:sz w:val="21"/>
                <w:szCs w:val="21"/>
              </w:rPr>
              <w:t>（</w:t>
            </w:r>
            <w:r>
              <w:rPr>
                <w:rFonts w:cs="Times New Roman"/>
                <w:sz w:val="21"/>
                <w:szCs w:val="21"/>
              </w:rPr>
              <w:t>µg/m³</w:t>
            </w:r>
            <w:r>
              <w:rPr>
                <w:rFonts w:cs="仿宋"/>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59C562EF">
            <w:pPr>
              <w:spacing w:line="260" w:lineRule="exact"/>
              <w:ind w:firstLine="0" w:firstLineChars="0"/>
              <w:jc w:val="center"/>
              <w:rPr>
                <w:sz w:val="21"/>
                <w:szCs w:val="21"/>
              </w:rPr>
            </w:pPr>
            <w:r>
              <w:rPr>
                <w:rFonts w:hint="eastAsia"/>
                <w:sz w:val="21"/>
                <w:szCs w:val="21"/>
              </w:rPr>
              <w:t>31</w:t>
            </w:r>
          </w:p>
        </w:tc>
        <w:tc>
          <w:tcPr>
            <w:tcW w:w="870" w:type="pct"/>
            <w:tcBorders>
              <w:top w:val="single" w:color="auto" w:sz="4" w:space="0"/>
              <w:left w:val="single" w:color="auto" w:sz="4" w:space="0"/>
              <w:bottom w:val="single" w:color="auto" w:sz="4" w:space="0"/>
              <w:right w:val="single" w:color="auto" w:sz="4" w:space="0"/>
            </w:tcBorders>
            <w:vAlign w:val="center"/>
          </w:tcPr>
          <w:p w14:paraId="3C117238">
            <w:pPr>
              <w:spacing w:line="260" w:lineRule="exact"/>
              <w:ind w:firstLine="0" w:firstLineChars="0"/>
              <w:jc w:val="center"/>
              <w:rPr>
                <w:sz w:val="21"/>
                <w:szCs w:val="21"/>
              </w:rPr>
            </w:pPr>
            <w:r>
              <w:rPr>
                <w:rFonts w:hint="eastAsia"/>
                <w:sz w:val="21"/>
                <w:szCs w:val="21"/>
              </w:rPr>
              <w:t>31</w:t>
            </w:r>
          </w:p>
        </w:tc>
        <w:tc>
          <w:tcPr>
            <w:tcW w:w="496" w:type="pct"/>
            <w:tcBorders>
              <w:top w:val="single" w:color="auto" w:sz="4" w:space="0"/>
              <w:left w:val="single" w:color="auto" w:sz="4" w:space="0"/>
              <w:bottom w:val="single" w:color="auto" w:sz="4" w:space="0"/>
              <w:right w:val="single" w:color="auto" w:sz="4" w:space="0"/>
            </w:tcBorders>
            <w:vAlign w:val="center"/>
          </w:tcPr>
          <w:p w14:paraId="100BA429">
            <w:pPr>
              <w:spacing w:line="260" w:lineRule="exact"/>
              <w:ind w:firstLine="0" w:firstLineChars="0"/>
              <w:jc w:val="center"/>
              <w:rPr>
                <w:sz w:val="21"/>
                <w:szCs w:val="21"/>
              </w:rPr>
            </w:pPr>
            <w:r>
              <w:rPr>
                <w:rFonts w:hint="eastAsia"/>
                <w:sz w:val="21"/>
                <w:szCs w:val="21"/>
              </w:rPr>
              <w:t>约束性</w:t>
            </w:r>
          </w:p>
        </w:tc>
      </w:tr>
      <w:tr w14:paraId="097C2F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5700BAF5">
            <w:pPr>
              <w:spacing w:line="260" w:lineRule="exact"/>
              <w:ind w:firstLine="0" w:firstLineChars="0"/>
              <w:jc w:val="center"/>
              <w:rPr>
                <w:sz w:val="21"/>
                <w:szCs w:val="21"/>
              </w:rPr>
            </w:pPr>
            <w:r>
              <w:rPr>
                <w:sz w:val="21"/>
                <w:szCs w:val="21"/>
              </w:rPr>
              <w:t>23</w:t>
            </w:r>
          </w:p>
        </w:tc>
        <w:tc>
          <w:tcPr>
            <w:tcW w:w="448" w:type="pct"/>
            <w:vMerge w:val="continue"/>
            <w:tcBorders>
              <w:top w:val="single" w:color="auto" w:sz="4" w:space="0"/>
              <w:left w:val="single" w:color="auto" w:sz="4" w:space="0"/>
              <w:bottom w:val="single" w:color="auto" w:sz="4" w:space="0"/>
              <w:right w:val="single" w:color="auto" w:sz="4" w:space="0"/>
            </w:tcBorders>
            <w:vAlign w:val="center"/>
          </w:tcPr>
          <w:p w14:paraId="31F0FCF5">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6C1378F4">
            <w:pPr>
              <w:spacing w:line="260" w:lineRule="exact"/>
              <w:ind w:firstLine="0" w:firstLineChars="0"/>
              <w:jc w:val="center"/>
              <w:rPr>
                <w:sz w:val="21"/>
                <w:szCs w:val="21"/>
              </w:rPr>
            </w:pPr>
            <w:bookmarkStart w:id="128" w:name="OLE_LINK135"/>
            <w:bookmarkStart w:id="129" w:name="OLE_LINK128"/>
            <w:r>
              <w:rPr>
                <w:rFonts w:hint="eastAsia"/>
                <w:sz w:val="21"/>
                <w:szCs w:val="21"/>
              </w:rPr>
              <w:t>森林覆盖率</w:t>
            </w:r>
            <w:bookmarkEnd w:id="128"/>
            <w:bookmarkEnd w:id="129"/>
            <w:r>
              <w:rPr>
                <w:rFonts w:hint="eastAsia" w:cs="Calibri"/>
                <w:sz w:val="21"/>
                <w:szCs w:val="21"/>
              </w:rPr>
              <w:t>（</w:t>
            </w:r>
            <w:r>
              <w:rPr>
                <w:sz w:val="21"/>
                <w:szCs w:val="21"/>
              </w:rPr>
              <w:t>%</w:t>
            </w:r>
            <w:r>
              <w:rPr>
                <w:rFonts w:hint="eastAsia" w:cs="Calibri"/>
                <w:sz w:val="21"/>
                <w:szCs w:val="21"/>
              </w:rPr>
              <w:t>）</w:t>
            </w:r>
          </w:p>
        </w:tc>
        <w:tc>
          <w:tcPr>
            <w:tcW w:w="731" w:type="pct"/>
            <w:tcBorders>
              <w:top w:val="single" w:color="auto" w:sz="4" w:space="0"/>
              <w:left w:val="single" w:color="auto" w:sz="4" w:space="0"/>
              <w:bottom w:val="single" w:color="auto" w:sz="4" w:space="0"/>
              <w:right w:val="single" w:color="auto" w:sz="4" w:space="0"/>
            </w:tcBorders>
            <w:vAlign w:val="center"/>
          </w:tcPr>
          <w:p w14:paraId="71C54462">
            <w:pPr>
              <w:spacing w:line="260" w:lineRule="exact"/>
              <w:ind w:firstLine="0" w:firstLineChars="0"/>
              <w:jc w:val="center"/>
              <w:rPr>
                <w:sz w:val="21"/>
                <w:szCs w:val="21"/>
              </w:rPr>
            </w:pPr>
            <w:r>
              <w:rPr>
                <w:kern w:val="0"/>
                <w:sz w:val="21"/>
                <w:szCs w:val="21"/>
              </w:rPr>
              <w:t>12.22</w:t>
            </w:r>
          </w:p>
        </w:tc>
        <w:tc>
          <w:tcPr>
            <w:tcW w:w="870" w:type="pct"/>
            <w:tcBorders>
              <w:top w:val="single" w:color="auto" w:sz="4" w:space="0"/>
              <w:left w:val="single" w:color="auto" w:sz="4" w:space="0"/>
              <w:bottom w:val="single" w:color="auto" w:sz="4" w:space="0"/>
              <w:right w:val="single" w:color="auto" w:sz="4" w:space="0"/>
            </w:tcBorders>
            <w:vAlign w:val="center"/>
          </w:tcPr>
          <w:p w14:paraId="5EDD5D9B">
            <w:pPr>
              <w:spacing w:line="260" w:lineRule="exact"/>
              <w:ind w:firstLine="0" w:firstLineChars="0"/>
              <w:jc w:val="center"/>
              <w:rPr>
                <w:sz w:val="21"/>
                <w:szCs w:val="21"/>
              </w:rPr>
            </w:pPr>
            <w:r>
              <w:rPr>
                <w:kern w:val="0"/>
                <w:sz w:val="21"/>
                <w:szCs w:val="21"/>
              </w:rPr>
              <w:t>18</w:t>
            </w:r>
          </w:p>
        </w:tc>
        <w:tc>
          <w:tcPr>
            <w:tcW w:w="496" w:type="pct"/>
            <w:tcBorders>
              <w:top w:val="single" w:color="auto" w:sz="4" w:space="0"/>
              <w:left w:val="single" w:color="auto" w:sz="4" w:space="0"/>
              <w:bottom w:val="single" w:color="auto" w:sz="4" w:space="0"/>
              <w:right w:val="single" w:color="auto" w:sz="4" w:space="0"/>
            </w:tcBorders>
            <w:vAlign w:val="center"/>
          </w:tcPr>
          <w:p w14:paraId="00F8B9DA">
            <w:pPr>
              <w:spacing w:line="260" w:lineRule="exact"/>
              <w:ind w:firstLine="0" w:firstLineChars="0"/>
              <w:jc w:val="center"/>
              <w:rPr>
                <w:sz w:val="21"/>
                <w:szCs w:val="21"/>
              </w:rPr>
            </w:pPr>
            <w:r>
              <w:rPr>
                <w:rFonts w:hint="eastAsia"/>
                <w:sz w:val="21"/>
                <w:szCs w:val="21"/>
              </w:rPr>
              <w:t>约束性</w:t>
            </w:r>
          </w:p>
        </w:tc>
      </w:tr>
      <w:tr w14:paraId="78449F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23B7FB7E">
            <w:pPr>
              <w:spacing w:line="260" w:lineRule="exact"/>
              <w:ind w:firstLine="0" w:firstLineChars="0"/>
              <w:jc w:val="center"/>
              <w:rPr>
                <w:sz w:val="21"/>
                <w:szCs w:val="21"/>
              </w:rPr>
            </w:pPr>
            <w:r>
              <w:rPr>
                <w:sz w:val="21"/>
                <w:szCs w:val="21"/>
              </w:rPr>
              <w:t>24</w:t>
            </w:r>
          </w:p>
        </w:tc>
        <w:tc>
          <w:tcPr>
            <w:tcW w:w="448" w:type="pct"/>
            <w:vMerge w:val="continue"/>
            <w:tcBorders>
              <w:top w:val="single" w:color="auto" w:sz="4" w:space="0"/>
              <w:left w:val="single" w:color="auto" w:sz="4" w:space="0"/>
              <w:bottom w:val="single" w:color="auto" w:sz="4" w:space="0"/>
              <w:right w:val="single" w:color="auto" w:sz="4" w:space="0"/>
            </w:tcBorders>
            <w:vAlign w:val="center"/>
          </w:tcPr>
          <w:p w14:paraId="401EC9EA">
            <w:pPr>
              <w:spacing w:line="260" w:lineRule="exact"/>
              <w:ind w:firstLine="0" w:firstLineChars="0"/>
              <w:jc w:val="center"/>
              <w:rPr>
                <w:sz w:val="21"/>
                <w:szCs w:val="21"/>
              </w:rPr>
            </w:pPr>
          </w:p>
        </w:tc>
        <w:tc>
          <w:tcPr>
            <w:tcW w:w="2082" w:type="pct"/>
            <w:tcBorders>
              <w:top w:val="single" w:color="auto" w:sz="4" w:space="0"/>
              <w:left w:val="single" w:color="auto" w:sz="4" w:space="0"/>
              <w:bottom w:val="single" w:color="auto" w:sz="4" w:space="0"/>
              <w:right w:val="single" w:color="auto" w:sz="4" w:space="0"/>
            </w:tcBorders>
            <w:vAlign w:val="center"/>
          </w:tcPr>
          <w:p w14:paraId="207B07B7">
            <w:pPr>
              <w:spacing w:line="260" w:lineRule="exact"/>
              <w:ind w:firstLine="0" w:firstLineChars="0"/>
              <w:jc w:val="center"/>
              <w:rPr>
                <w:sz w:val="21"/>
                <w:szCs w:val="21"/>
              </w:rPr>
            </w:pPr>
            <w:r>
              <w:rPr>
                <w:rFonts w:hint="eastAsia"/>
                <w:sz w:val="21"/>
                <w:szCs w:val="21"/>
              </w:rPr>
              <w:t>省、市考核断面地表水达到Ⅳ类水质</w:t>
            </w:r>
          </w:p>
        </w:tc>
        <w:tc>
          <w:tcPr>
            <w:tcW w:w="731" w:type="pct"/>
            <w:tcBorders>
              <w:top w:val="single" w:color="auto" w:sz="4" w:space="0"/>
              <w:left w:val="single" w:color="auto" w:sz="4" w:space="0"/>
              <w:bottom w:val="single" w:color="auto" w:sz="4" w:space="0"/>
              <w:right w:val="single" w:color="auto" w:sz="4" w:space="0"/>
            </w:tcBorders>
            <w:vAlign w:val="center"/>
          </w:tcPr>
          <w:p w14:paraId="7F887104">
            <w:pPr>
              <w:spacing w:line="260" w:lineRule="exact"/>
              <w:ind w:firstLine="0" w:firstLineChars="0"/>
              <w:jc w:val="center"/>
              <w:rPr>
                <w:sz w:val="21"/>
                <w:szCs w:val="21"/>
              </w:rPr>
            </w:pPr>
            <w:r>
              <w:rPr>
                <w:rFonts w:hint="eastAsia"/>
                <w:sz w:val="21"/>
                <w:szCs w:val="21"/>
              </w:rPr>
              <w:t>年度均值Ⅳ类水质</w:t>
            </w:r>
          </w:p>
        </w:tc>
        <w:tc>
          <w:tcPr>
            <w:tcW w:w="870" w:type="pct"/>
            <w:tcBorders>
              <w:top w:val="single" w:color="auto" w:sz="4" w:space="0"/>
              <w:left w:val="single" w:color="auto" w:sz="4" w:space="0"/>
              <w:bottom w:val="single" w:color="auto" w:sz="4" w:space="0"/>
              <w:right w:val="single" w:color="auto" w:sz="4" w:space="0"/>
            </w:tcBorders>
            <w:vAlign w:val="center"/>
          </w:tcPr>
          <w:p w14:paraId="20A9C728">
            <w:pPr>
              <w:spacing w:line="260" w:lineRule="exact"/>
              <w:ind w:firstLine="0" w:firstLineChars="0"/>
              <w:jc w:val="center"/>
              <w:rPr>
                <w:sz w:val="21"/>
                <w:szCs w:val="21"/>
              </w:rPr>
            </w:pPr>
            <w:r>
              <w:rPr>
                <w:rFonts w:hint="eastAsia"/>
                <w:sz w:val="21"/>
                <w:szCs w:val="21"/>
              </w:rPr>
              <w:t>年度均值</w:t>
            </w:r>
          </w:p>
          <w:p w14:paraId="4F7A09C9">
            <w:pPr>
              <w:spacing w:line="260" w:lineRule="exact"/>
              <w:ind w:firstLine="0" w:firstLineChars="0"/>
              <w:jc w:val="center"/>
              <w:rPr>
                <w:sz w:val="21"/>
                <w:szCs w:val="21"/>
              </w:rPr>
            </w:pPr>
            <w:r>
              <w:rPr>
                <w:rFonts w:hint="eastAsia"/>
                <w:sz w:val="21"/>
                <w:szCs w:val="21"/>
              </w:rPr>
              <w:t>Ⅳ类水质</w:t>
            </w:r>
          </w:p>
        </w:tc>
        <w:tc>
          <w:tcPr>
            <w:tcW w:w="496" w:type="pct"/>
            <w:tcBorders>
              <w:top w:val="single" w:color="auto" w:sz="4" w:space="0"/>
              <w:left w:val="single" w:color="auto" w:sz="4" w:space="0"/>
              <w:bottom w:val="single" w:color="auto" w:sz="4" w:space="0"/>
              <w:right w:val="single" w:color="auto" w:sz="4" w:space="0"/>
            </w:tcBorders>
            <w:vAlign w:val="center"/>
          </w:tcPr>
          <w:p w14:paraId="1876AD39">
            <w:pPr>
              <w:spacing w:line="260" w:lineRule="exact"/>
              <w:ind w:firstLine="0" w:firstLineChars="0"/>
              <w:jc w:val="center"/>
              <w:rPr>
                <w:sz w:val="21"/>
                <w:szCs w:val="21"/>
              </w:rPr>
            </w:pPr>
            <w:r>
              <w:rPr>
                <w:rFonts w:hint="eastAsia"/>
                <w:sz w:val="21"/>
                <w:szCs w:val="21"/>
              </w:rPr>
              <w:t>约束性</w:t>
            </w:r>
          </w:p>
        </w:tc>
      </w:tr>
      <w:tr w14:paraId="4E8B3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0" w:type="pct"/>
            <w:tcBorders>
              <w:top w:val="single" w:color="auto" w:sz="4" w:space="0"/>
              <w:left w:val="single" w:color="auto" w:sz="4" w:space="0"/>
              <w:bottom w:val="single" w:color="auto" w:sz="4" w:space="0"/>
              <w:right w:val="single" w:color="auto" w:sz="4" w:space="0"/>
            </w:tcBorders>
            <w:vAlign w:val="center"/>
          </w:tcPr>
          <w:p w14:paraId="567EB7AF">
            <w:pPr>
              <w:spacing w:line="260" w:lineRule="exact"/>
              <w:ind w:firstLine="0" w:firstLineChars="0"/>
              <w:jc w:val="center"/>
              <w:rPr>
                <w:sz w:val="21"/>
                <w:szCs w:val="21"/>
              </w:rPr>
            </w:pPr>
            <w:r>
              <w:rPr>
                <w:sz w:val="21"/>
                <w:szCs w:val="21"/>
              </w:rPr>
              <w:t>25</w:t>
            </w:r>
          </w:p>
        </w:tc>
        <w:tc>
          <w:tcPr>
            <w:tcW w:w="448" w:type="pct"/>
            <w:tcBorders>
              <w:top w:val="single" w:color="auto" w:sz="4" w:space="0"/>
              <w:left w:val="single" w:color="auto" w:sz="4" w:space="0"/>
              <w:right w:val="single" w:color="auto" w:sz="4" w:space="0"/>
            </w:tcBorders>
            <w:vAlign w:val="center"/>
          </w:tcPr>
          <w:p w14:paraId="07B99A23">
            <w:pPr>
              <w:spacing w:line="260" w:lineRule="exact"/>
              <w:ind w:firstLine="0" w:firstLineChars="0"/>
              <w:jc w:val="center"/>
              <w:rPr>
                <w:sz w:val="21"/>
                <w:szCs w:val="21"/>
              </w:rPr>
            </w:pPr>
            <w:r>
              <w:rPr>
                <w:rFonts w:hint="eastAsia"/>
                <w:sz w:val="21"/>
                <w:szCs w:val="21"/>
              </w:rPr>
              <w:t>安全保障</w:t>
            </w:r>
          </w:p>
        </w:tc>
        <w:tc>
          <w:tcPr>
            <w:tcW w:w="2082" w:type="pct"/>
            <w:tcBorders>
              <w:top w:val="single" w:color="auto" w:sz="4" w:space="0"/>
              <w:left w:val="single" w:color="auto" w:sz="4" w:space="0"/>
              <w:bottom w:val="single" w:color="auto" w:sz="4" w:space="0"/>
              <w:right w:val="single" w:color="auto" w:sz="4" w:space="0"/>
            </w:tcBorders>
            <w:vAlign w:val="center"/>
          </w:tcPr>
          <w:p w14:paraId="240D8056">
            <w:pPr>
              <w:spacing w:line="260" w:lineRule="exact"/>
              <w:ind w:firstLine="0" w:firstLineChars="0"/>
              <w:jc w:val="center"/>
              <w:rPr>
                <w:sz w:val="21"/>
                <w:szCs w:val="21"/>
              </w:rPr>
            </w:pPr>
            <w:bookmarkStart w:id="130" w:name="OLE_LINK141"/>
            <w:bookmarkStart w:id="131" w:name="OLE_LINK142"/>
            <w:bookmarkStart w:id="132" w:name="OLE_LINK60"/>
            <w:r>
              <w:rPr>
                <w:rFonts w:hint="eastAsia"/>
                <w:sz w:val="21"/>
                <w:szCs w:val="21"/>
              </w:rPr>
              <w:t>粮食综合生产能力</w:t>
            </w:r>
            <w:bookmarkEnd w:id="130"/>
            <w:bookmarkEnd w:id="131"/>
            <w:r>
              <w:rPr>
                <w:rFonts w:hint="eastAsia"/>
                <w:sz w:val="21"/>
                <w:szCs w:val="21"/>
              </w:rPr>
              <w:t>（亿斤）</w:t>
            </w:r>
            <w:bookmarkEnd w:id="132"/>
          </w:p>
        </w:tc>
        <w:tc>
          <w:tcPr>
            <w:tcW w:w="731" w:type="pct"/>
            <w:tcBorders>
              <w:top w:val="single" w:color="auto" w:sz="4" w:space="0"/>
              <w:left w:val="single" w:color="auto" w:sz="4" w:space="0"/>
              <w:bottom w:val="single" w:color="auto" w:sz="4" w:space="0"/>
              <w:right w:val="single" w:color="auto" w:sz="4" w:space="0"/>
            </w:tcBorders>
            <w:vAlign w:val="center"/>
          </w:tcPr>
          <w:p w14:paraId="4D168672">
            <w:pPr>
              <w:spacing w:line="260" w:lineRule="exact"/>
              <w:ind w:firstLine="0" w:firstLineChars="0"/>
              <w:jc w:val="center"/>
              <w:rPr>
                <w:sz w:val="21"/>
                <w:szCs w:val="21"/>
              </w:rPr>
            </w:pPr>
            <w:r>
              <w:rPr>
                <w:sz w:val="21"/>
                <w:szCs w:val="21"/>
              </w:rPr>
              <w:t>13.06</w:t>
            </w:r>
          </w:p>
        </w:tc>
        <w:tc>
          <w:tcPr>
            <w:tcW w:w="870" w:type="pct"/>
            <w:tcBorders>
              <w:top w:val="single" w:color="auto" w:sz="4" w:space="0"/>
              <w:left w:val="single" w:color="auto" w:sz="4" w:space="0"/>
              <w:bottom w:val="single" w:color="auto" w:sz="4" w:space="0"/>
              <w:right w:val="single" w:color="auto" w:sz="4" w:space="0"/>
            </w:tcBorders>
            <w:vAlign w:val="center"/>
          </w:tcPr>
          <w:p w14:paraId="3EB90ECC">
            <w:pPr>
              <w:spacing w:line="260" w:lineRule="exact"/>
              <w:ind w:firstLine="0" w:firstLineChars="0"/>
              <w:jc w:val="center"/>
              <w:rPr>
                <w:sz w:val="21"/>
                <w:szCs w:val="21"/>
              </w:rPr>
            </w:pPr>
            <w:r>
              <w:rPr>
                <w:sz w:val="21"/>
                <w:szCs w:val="21"/>
              </w:rPr>
              <w:t>13</w:t>
            </w:r>
          </w:p>
        </w:tc>
        <w:tc>
          <w:tcPr>
            <w:tcW w:w="496" w:type="pct"/>
            <w:tcBorders>
              <w:top w:val="single" w:color="auto" w:sz="4" w:space="0"/>
              <w:left w:val="single" w:color="auto" w:sz="4" w:space="0"/>
              <w:bottom w:val="single" w:color="auto" w:sz="4" w:space="0"/>
              <w:right w:val="single" w:color="auto" w:sz="4" w:space="0"/>
            </w:tcBorders>
            <w:vAlign w:val="center"/>
          </w:tcPr>
          <w:p w14:paraId="5386203E">
            <w:pPr>
              <w:spacing w:line="260" w:lineRule="exact"/>
              <w:ind w:firstLine="0" w:firstLineChars="0"/>
              <w:jc w:val="center"/>
              <w:rPr>
                <w:sz w:val="21"/>
                <w:szCs w:val="21"/>
              </w:rPr>
            </w:pPr>
            <w:r>
              <w:rPr>
                <w:rFonts w:hint="eastAsia"/>
                <w:sz w:val="21"/>
                <w:szCs w:val="21"/>
              </w:rPr>
              <w:t>约束性</w:t>
            </w:r>
          </w:p>
        </w:tc>
      </w:tr>
      <w:bookmarkEnd w:id="97"/>
      <w:bookmarkEnd w:id="98"/>
      <w:bookmarkEnd w:id="99"/>
      <w:bookmarkEnd w:id="101"/>
      <w:bookmarkEnd w:id="102"/>
      <w:bookmarkEnd w:id="103"/>
      <w:bookmarkEnd w:id="104"/>
    </w:tbl>
    <w:p w14:paraId="3C5148FF">
      <w:pPr>
        <w:pStyle w:val="2"/>
        <w:spacing w:before="217" w:after="217"/>
        <w:rPr>
          <w:b w:val="0"/>
          <w:bCs/>
        </w:rPr>
      </w:pPr>
      <w:bookmarkStart w:id="133" w:name="_Toc237336649"/>
      <w:bookmarkStart w:id="134" w:name="OLE_LINK204"/>
      <w:bookmarkStart w:id="135" w:name="OLE_LINK197"/>
      <w:bookmarkStart w:id="136" w:name="_Toc209112135"/>
      <w:r>
        <w:rPr>
          <w:rFonts w:hint="eastAsia"/>
          <w:b w:val="0"/>
          <w:bCs/>
        </w:rPr>
        <w:t>第三章 提升获得感满意度 打造一流营商环境</w:t>
      </w:r>
      <w:bookmarkEnd w:id="133"/>
    </w:p>
    <w:bookmarkEnd w:id="134"/>
    <w:bookmarkEnd w:id="135"/>
    <w:p w14:paraId="794F47A7">
      <w:pPr>
        <w:ind w:firstLine="640"/>
      </w:pPr>
      <w:r>
        <w:rPr>
          <w:rFonts w:hint="eastAsia"/>
        </w:rPr>
        <w:t>坚持把优化营商环境作为振兴发展的生命线，以提升经营主体和人民群众的获得感和满意度为根本目的，以转变政府职能和提升行政效能为核心任务，对标先进、系统谋划、综合施策，全力打造全省营商环境县域标杆。</w:t>
      </w:r>
    </w:p>
    <w:p w14:paraId="75D0D395">
      <w:pPr>
        <w:pStyle w:val="3"/>
        <w:spacing w:before="217" w:after="217"/>
      </w:pPr>
      <w:bookmarkStart w:id="137" w:name="_Toc237336650"/>
      <w:r>
        <w:rPr>
          <w:rFonts w:hint="eastAsia"/>
        </w:rPr>
        <w:t>第一节 打造综合更优的政策环境</w:t>
      </w:r>
      <w:bookmarkEnd w:id="137"/>
    </w:p>
    <w:p w14:paraId="11ED4CF7">
      <w:pPr>
        <w:ind w:firstLine="643"/>
      </w:pPr>
      <w:r>
        <w:rPr>
          <w:rFonts w:hint="eastAsia"/>
          <w:b/>
        </w:rPr>
        <w:t>优化政策供给体系。</w:t>
      </w:r>
      <w:r>
        <w:rPr>
          <w:rFonts w:hint="eastAsia"/>
        </w:rPr>
        <w:t>严格贯彻国家、省、市《优化营商环境条例》，全面落实各级优化营商环境政策措施，保障政策落地一致性。聚焦经营主体需求，加大行政执法、诚信建设等重点领域制度供给。强化审查刚性约束，增强政策文件制定科学性。</w:t>
      </w:r>
    </w:p>
    <w:p w14:paraId="3D3D7859">
      <w:pPr>
        <w:ind w:firstLine="643"/>
      </w:pPr>
      <w:r>
        <w:rPr>
          <w:rFonts w:hint="eastAsia"/>
          <w:b/>
        </w:rPr>
        <w:t>完善政策宣传机制。</w:t>
      </w:r>
      <w:r>
        <w:rPr>
          <w:rFonts w:hint="eastAsia"/>
        </w:rPr>
        <w:t>深化“领导干部进企业”等行动，开展“政策讲堂”“入门送政策”等活动，健全“惠企康桥”政企沟通交流机制，实现政策分级传播、精准解读。建好用好“政务公开专区”“康平营商”等平台载体，及时公示惠企政策，提升政策透明度。</w:t>
      </w:r>
    </w:p>
    <w:p w14:paraId="6E1C1B15">
      <w:pPr>
        <w:ind w:firstLine="643"/>
      </w:pPr>
      <w:bookmarkStart w:id="138" w:name="OLE_LINK69"/>
      <w:bookmarkStart w:id="139" w:name="OLE_LINK70"/>
      <w:r>
        <w:rPr>
          <w:rFonts w:hint="eastAsia"/>
          <w:b/>
        </w:rPr>
        <w:t>强化惠企政策落实</w:t>
      </w:r>
      <w:bookmarkEnd w:id="138"/>
      <w:bookmarkEnd w:id="139"/>
      <w:r>
        <w:rPr>
          <w:rFonts w:hint="eastAsia"/>
          <w:b/>
        </w:rPr>
        <w:t>。</w:t>
      </w:r>
      <w:r>
        <w:rPr>
          <w:rFonts w:hint="eastAsia"/>
        </w:rPr>
        <w:t>动态完善“政策画像”“企业画像”，建立健全政策主动上门、精准推送工作机制。完善惠企政策兑现落实机制，推动实现“直达快享”“免申即享”“无感通办”。开展政策落实情况评估，围绕市场主体满意度、实施效果等优化提升政策落实质效。</w:t>
      </w:r>
    </w:p>
    <w:p w14:paraId="01D4A71D">
      <w:pPr>
        <w:pStyle w:val="3"/>
        <w:spacing w:before="217" w:after="217"/>
      </w:pPr>
      <w:bookmarkStart w:id="140" w:name="_Toc237336651"/>
      <w:r>
        <w:rPr>
          <w:rFonts w:hint="eastAsia"/>
        </w:rPr>
        <w:t>第二节</w:t>
      </w:r>
      <w:r>
        <w:t xml:space="preserve"> </w:t>
      </w:r>
      <w:r>
        <w:rPr>
          <w:rFonts w:hint="eastAsia"/>
        </w:rPr>
        <w:t>打造公平有序的市场环境</w:t>
      </w:r>
      <w:bookmarkEnd w:id="140"/>
    </w:p>
    <w:p w14:paraId="23739C04">
      <w:pPr>
        <w:ind w:firstLine="643"/>
      </w:pPr>
      <w:r>
        <w:rPr>
          <w:rFonts w:hint="eastAsia"/>
          <w:b/>
        </w:rPr>
        <w:t>畅通市场准入退出。</w:t>
      </w:r>
      <w:r>
        <w:rPr>
          <w:rFonts w:hint="eastAsia"/>
        </w:rPr>
        <w:t>实施市场准入“全国一张清单”管理模式，完善市场准入负面清单信息公开和动态调整机制，强化准入政策衔接落实。深化“一照多址”等改革，提升市场准入便利度。推行经营主体迁移注销异地办理，进一步畅通企业退出机制。</w:t>
      </w:r>
    </w:p>
    <w:p w14:paraId="3FFBE21D">
      <w:pPr>
        <w:ind w:firstLine="643"/>
      </w:pPr>
      <w:bookmarkStart w:id="141" w:name="OLE_LINK71"/>
      <w:bookmarkStart w:id="142" w:name="OLE_LINK72"/>
      <w:r>
        <w:rPr>
          <w:rFonts w:hint="eastAsia"/>
          <w:b/>
        </w:rPr>
        <w:t>营造市场良好秩序</w:t>
      </w:r>
      <w:bookmarkEnd w:id="141"/>
      <w:bookmarkEnd w:id="142"/>
      <w:r>
        <w:rPr>
          <w:rFonts w:hint="eastAsia"/>
          <w:b/>
        </w:rPr>
        <w:t>。</w:t>
      </w:r>
      <w:r>
        <w:rPr>
          <w:rFonts w:hint="eastAsia"/>
        </w:rPr>
        <w:t>严格执行公平竞争审查标准，确保涉及市场主体经营活动文件“应审尽审”，常态化开展招投标、政府采购、招商引资等重点领域公平竞争审查。深化“双随机、一公开”“互联网+监管”模式，拓宽“智慧监管”、远程监管新场景，优化市场监管方式。动态调整涉企收费目录清单，探索降低企业经营性成本相关举措。</w:t>
      </w:r>
    </w:p>
    <w:p w14:paraId="6B86214B">
      <w:pPr>
        <w:ind w:firstLine="643"/>
      </w:pPr>
      <w:r>
        <w:rPr>
          <w:rFonts w:hint="eastAsia"/>
          <w:b/>
        </w:rPr>
        <w:t>促进企业合规经营。</w:t>
      </w:r>
      <w:r>
        <w:rPr>
          <w:rFonts w:hint="eastAsia"/>
        </w:rPr>
        <w:t>加强宣传引导，针对知识产权保护、合规经营等高频风险点进行普法宣传与法治体检。指导企业建立完善内部管理体系，规范生产、销售、财务、法律服务等行为。创新信用激励与约束机制，探索建立企业守法诚信指数评估制度，树立“守法受益、违法受限”的鲜明导向。</w:t>
      </w:r>
    </w:p>
    <w:p w14:paraId="0D5083D9">
      <w:pPr>
        <w:pStyle w:val="3"/>
        <w:spacing w:before="217" w:after="217"/>
      </w:pPr>
      <w:bookmarkStart w:id="143" w:name="_Toc237336652"/>
      <w:r>
        <w:rPr>
          <w:rFonts w:hint="eastAsia"/>
        </w:rPr>
        <w:t>第三节</w:t>
      </w:r>
      <w:r>
        <w:t xml:space="preserve"> </w:t>
      </w:r>
      <w:r>
        <w:rPr>
          <w:rFonts w:hint="eastAsia"/>
        </w:rPr>
        <w:t>打造高效便利的政务环境</w:t>
      </w:r>
      <w:bookmarkEnd w:id="143"/>
    </w:p>
    <w:p w14:paraId="586B381C">
      <w:pPr>
        <w:adjustRightInd w:val="0"/>
        <w:snapToGrid w:val="0"/>
        <w:ind w:firstLine="643"/>
        <w:rPr>
          <w:b/>
        </w:rPr>
      </w:pPr>
      <w:r>
        <w:rPr>
          <w:rFonts w:hint="eastAsia"/>
          <w:b/>
        </w:rPr>
        <w:t>深化审批制度改革。</w:t>
      </w:r>
      <w:r>
        <w:rPr>
          <w:rFonts w:hint="eastAsia"/>
        </w:rPr>
        <w:t>推动“高效办成一件事”，深化“只提交一次材料”改革，规范县级事项设置和材料清单。深化“一网通办”、全程网办，推动实现“一次不用跑”。积极融入“五级联动”一体化政务服务体系，实现便企利民高频事项“全市通办”“跨级通办”“跨域通办”，推动涉农涉民生高频事项“就近办”。深化工程建设项目审批制度改革，优化项目全生命周期服务，持续压缩工程建设项目审批时限。到2030年，工程建设项目从立项到验收总体审批时限控制在30个工作日以内。</w:t>
      </w:r>
    </w:p>
    <w:p w14:paraId="12DC52E9">
      <w:pPr>
        <w:adjustRightInd w:val="0"/>
        <w:snapToGrid w:val="0"/>
        <w:ind w:firstLine="643"/>
      </w:pPr>
      <w:bookmarkStart w:id="144" w:name="OLE_LINK75"/>
      <w:bookmarkStart w:id="145" w:name="OLE_LINK76"/>
      <w:r>
        <w:rPr>
          <w:rFonts w:hint="eastAsia"/>
          <w:b/>
        </w:rPr>
        <w:t>升级政务服务体验</w:t>
      </w:r>
      <w:bookmarkEnd w:id="144"/>
      <w:bookmarkEnd w:id="145"/>
      <w:r>
        <w:rPr>
          <w:rFonts w:hint="eastAsia"/>
          <w:b/>
        </w:rPr>
        <w:t>。</w:t>
      </w:r>
      <w:r>
        <w:rPr>
          <w:rFonts w:hint="eastAsia"/>
        </w:rPr>
        <w:t>实施窗口服务提质行动，深化“五有”理念，擦亮“微笑康平”名片，打造标准、规范、暖心的窗口服务。优化金融、法律、信用查询等增值服务供给，提供更具个性化、精准化的延伸服务。完善社会监督机制，持续深化营商环境监督员、“办不成事反映窗口”“码上监督”等模式，抓实12345民意诉求办理，构建“多元收集、分类交办、全程督办、限时反馈”的闭环管理体系，以群众体验为导向不断提升服务质效。到20</w:t>
      </w:r>
      <w:r>
        <w:t>30</w:t>
      </w:r>
      <w:r>
        <w:rPr>
          <w:rFonts w:hint="eastAsia"/>
        </w:rPr>
        <w:t>年，窗口好评率保持在100%，12345诉求办结率保持在98%以上，增值服务获得感更强，政务服务综合满意度大幅提升。</w:t>
      </w:r>
    </w:p>
    <w:p w14:paraId="289F1C56">
      <w:pPr>
        <w:adjustRightInd w:val="0"/>
        <w:snapToGrid w:val="0"/>
        <w:ind w:firstLine="643"/>
      </w:pPr>
      <w:r>
        <w:rPr>
          <w:rFonts w:hint="eastAsia"/>
          <w:b/>
        </w:rPr>
        <w:t>深化服务模式创新。</w:t>
      </w:r>
      <w:r>
        <w:rPr>
          <w:rFonts w:hint="eastAsia"/>
        </w:rPr>
        <w:t>聚焦主导产业发展方向，围绕沈阳生物化工产业园建设，绘制“审批全景图”，整合“康速通”“项目专员”等机制，探索打造“一链通办”服务模式，提升重点项目全生命周期服务质效。完善康平县政务服务中心线上平台功能，逐步接入社保医保查询、不动产信息查询等高频刚需服务，提供政策咨询、办事导引“秒回”服务，拓宽“掌上智慧交互”服务场景。</w:t>
      </w:r>
    </w:p>
    <w:p w14:paraId="448B034A">
      <w:pPr>
        <w:pStyle w:val="3"/>
        <w:spacing w:before="217" w:after="217"/>
      </w:pPr>
      <w:bookmarkStart w:id="146" w:name="_Toc237336653"/>
      <w:r>
        <w:rPr>
          <w:rFonts w:hint="eastAsia"/>
        </w:rPr>
        <w:t>第四节</w:t>
      </w:r>
      <w:r>
        <w:t xml:space="preserve"> </w:t>
      </w:r>
      <w:r>
        <w:rPr>
          <w:rFonts w:hint="eastAsia"/>
        </w:rPr>
        <w:t>打造公正透明的法治环境</w:t>
      </w:r>
      <w:bookmarkEnd w:id="146"/>
    </w:p>
    <w:p w14:paraId="2E971890">
      <w:pPr>
        <w:ind w:firstLine="643"/>
        <w:rPr>
          <w:rFonts w:cs="Times New Roman"/>
          <w:b/>
          <w:szCs w:val="32"/>
        </w:rPr>
      </w:pPr>
      <w:bookmarkStart w:id="147" w:name="OLE_LINK93"/>
      <w:bookmarkStart w:id="148" w:name="OLE_LINK92"/>
      <w:r>
        <w:rPr>
          <w:rFonts w:hint="eastAsia" w:cs="Times New Roman"/>
          <w:b/>
          <w:szCs w:val="32"/>
        </w:rPr>
        <w:t>规范行政执法行为</w:t>
      </w:r>
      <w:bookmarkEnd w:id="147"/>
      <w:bookmarkEnd w:id="148"/>
      <w:r>
        <w:rPr>
          <w:rFonts w:hint="eastAsia" w:cs="Times New Roman"/>
          <w:b/>
          <w:szCs w:val="32"/>
        </w:rPr>
        <w:t>。</w:t>
      </w:r>
      <w:r>
        <w:rPr>
          <w:rFonts w:hint="eastAsia" w:cs="Times New Roman"/>
          <w:szCs w:val="32"/>
        </w:rPr>
        <w:t>落实行政执法“三项制度”，推行“综合查一次”联合执法，落实行政处罚裁量基准，杜绝多头执法、重复执法、选择性执法、违规异地执法、趋利性执法等行为。实施包容审慎监管，实施行政执法包容免罚、从轻处罚、减轻处罚、不予行政强制事项清单制管理，打造服务型执法模式。</w:t>
      </w:r>
    </w:p>
    <w:p w14:paraId="1087CE0F">
      <w:pPr>
        <w:ind w:firstLine="643"/>
        <w:rPr>
          <w:rFonts w:cs="Times New Roman"/>
          <w:szCs w:val="32"/>
        </w:rPr>
      </w:pPr>
      <w:r>
        <w:rPr>
          <w:rFonts w:hint="eastAsia" w:cs="Times New Roman"/>
          <w:b/>
          <w:szCs w:val="32"/>
        </w:rPr>
        <w:t>强化司法服务保障。</w:t>
      </w:r>
      <w:r>
        <w:rPr>
          <w:rFonts w:hint="eastAsia" w:cs="Times New Roman"/>
          <w:szCs w:val="32"/>
        </w:rPr>
        <w:t>健全完善涉企案件“绿标签”模式，用足用好“智慧法院”平台，提升立审执全流程质效。实施多元纠纷化解机制，强化案件先行调解，进一步降低直接诉讼成本。常态化开展“超长期”案件专项清理，加强案件执行、行政复议规范化建设。强化知识产权保护和运用，保护企业合法权益。</w:t>
      </w:r>
    </w:p>
    <w:p w14:paraId="763635F5">
      <w:pPr>
        <w:ind w:firstLine="643"/>
        <w:rPr>
          <w:rFonts w:cs="Times New Roman"/>
          <w:szCs w:val="32"/>
        </w:rPr>
      </w:pPr>
      <w:bookmarkStart w:id="149" w:name="OLE_LINK94"/>
      <w:bookmarkStart w:id="150" w:name="OLE_LINK95"/>
      <w:r>
        <w:rPr>
          <w:rFonts w:hint="eastAsia" w:cs="Times New Roman"/>
          <w:b/>
          <w:szCs w:val="32"/>
        </w:rPr>
        <w:t>构建全域法治格局</w:t>
      </w:r>
      <w:bookmarkEnd w:id="149"/>
      <w:bookmarkEnd w:id="150"/>
      <w:r>
        <w:rPr>
          <w:rFonts w:hint="eastAsia" w:cs="Times New Roman"/>
          <w:b/>
          <w:szCs w:val="32"/>
        </w:rPr>
        <w:t>。</w:t>
      </w:r>
      <w:r>
        <w:rPr>
          <w:rFonts w:hint="eastAsia" w:cs="Times New Roman"/>
          <w:szCs w:val="32"/>
        </w:rPr>
        <w:t>推动法治政府建设走深走实，推动全社会知法、尊法、守法、用法。完善公共法律服务体系，加强公共法律服务平台建设，推动法律服务资源向基层延伸。全面开展“九五”普法宣传教育，扎实落实普法责任制，推开“法律七进”活动，创新“精准滴灌”普法方式，实现重点领域、重点人群全覆盖。</w:t>
      </w:r>
    </w:p>
    <w:p w14:paraId="2880D5C1">
      <w:pPr>
        <w:pStyle w:val="3"/>
        <w:spacing w:before="217" w:after="217"/>
      </w:pPr>
      <w:bookmarkStart w:id="151" w:name="_Toc237336654"/>
      <w:r>
        <w:rPr>
          <w:rFonts w:hint="eastAsia"/>
        </w:rPr>
        <w:t>第五节</w:t>
      </w:r>
      <w:r>
        <w:t xml:space="preserve"> </w:t>
      </w:r>
      <w:r>
        <w:rPr>
          <w:rFonts w:hint="eastAsia"/>
        </w:rPr>
        <w:t>打造亲商安商的人文环境</w:t>
      </w:r>
      <w:bookmarkEnd w:id="151"/>
    </w:p>
    <w:p w14:paraId="226CD4C8">
      <w:pPr>
        <w:ind w:firstLine="643"/>
        <w:rPr>
          <w:b/>
        </w:rPr>
      </w:pPr>
      <w:r>
        <w:rPr>
          <w:rFonts w:hint="eastAsia"/>
          <w:b/>
        </w:rPr>
        <w:t>着力优化政治生态。</w:t>
      </w:r>
      <w:r>
        <w:rPr>
          <w:rFonts w:hint="eastAsia"/>
        </w:rPr>
        <w:t>构建“亲而有度，清而有为”的新型政商关系。激发干事创业热情，巩固拓展“作风转变年”“纪律建设年”工作成果，推进干部能上能下，落实“三个区分开来”，着力整治不担当不作为问题。深化营商环境监督专项行动，对“吃拿卡要”等破坏营商环境的人和事严肃查处、严惩不贷。</w:t>
      </w:r>
    </w:p>
    <w:p w14:paraId="14087ACD">
      <w:pPr>
        <w:ind w:firstLine="643"/>
      </w:pPr>
      <w:r>
        <w:rPr>
          <w:rFonts w:hint="eastAsia"/>
          <w:b/>
        </w:rPr>
        <w:t>加快推进诚信建设。</w:t>
      </w:r>
      <w:r>
        <w:rPr>
          <w:rFonts w:hint="eastAsia"/>
        </w:rPr>
        <w:t>落实《沈阳市社会信用条例》，统筹推进政务诚信、商务诚信、社会诚信、司法公信建设。深化诚信政府建设，健全政府诚信履约机制。加强经营主体信用建设，深化重点行业领域信用分级分类监管，建立健全信用培育机制，一体抓好全社会诚信文化建设。</w:t>
      </w:r>
    </w:p>
    <w:p w14:paraId="54B01D91">
      <w:pPr>
        <w:ind w:firstLine="643"/>
        <w:rPr>
          <w:rFonts w:cs="仿宋_GB2312"/>
          <w:szCs w:val="32"/>
        </w:rPr>
      </w:pPr>
      <w:bookmarkStart w:id="152" w:name="OLE_LINK97"/>
      <w:bookmarkStart w:id="153" w:name="OLE_LINK96"/>
      <w:r>
        <w:rPr>
          <w:rFonts w:hint="eastAsia"/>
          <w:b/>
        </w:rPr>
        <w:t>持续优化社会生态</w:t>
      </w:r>
      <w:bookmarkEnd w:id="152"/>
      <w:bookmarkEnd w:id="153"/>
      <w:r>
        <w:rPr>
          <w:rFonts w:hint="eastAsia"/>
          <w:b/>
        </w:rPr>
        <w:t>。</w:t>
      </w:r>
      <w:r>
        <w:rPr>
          <w:rFonts w:hint="eastAsia"/>
        </w:rPr>
        <w:t>夯实“人人都是营商环境、事事关系营商环境”理念，营造浓厚氛围、塑造包容开放热情友善城市形象。优化经营主体公共服务供给，提升教育、医疗、就业、养老、托育等重点服务适配度。提升生态环境质量、优化城乡基础设施，提高宜居宜业水平。深入推进精神文明建设，保持社会大局总体稳定，让来康企业和人才安身、安心、安业。</w:t>
      </w:r>
    </w:p>
    <w:p w14:paraId="2AA8E930">
      <w:pPr>
        <w:pStyle w:val="2"/>
        <w:spacing w:before="217" w:after="217"/>
        <w:rPr>
          <w:b w:val="0"/>
          <w:bCs/>
        </w:rPr>
      </w:pPr>
      <w:bookmarkStart w:id="154" w:name="_Toc212368723"/>
      <w:bookmarkStart w:id="155" w:name="_Toc237336655"/>
      <w:bookmarkStart w:id="156" w:name="OLE_LINK68"/>
      <w:bookmarkStart w:id="157" w:name="OLE_LINK524"/>
      <w:bookmarkStart w:id="158" w:name="OLE_LINK523"/>
      <w:bookmarkStart w:id="159" w:name="_Toc212368728"/>
      <w:bookmarkStart w:id="160" w:name="_Toc213350202"/>
      <w:r>
        <w:rPr>
          <w:rFonts w:hint="eastAsia"/>
          <w:b w:val="0"/>
          <w:bCs/>
        </w:rPr>
        <w:t>第四章</w:t>
      </w:r>
      <w:r>
        <w:rPr>
          <w:b w:val="0"/>
          <w:bCs/>
        </w:rPr>
        <w:t xml:space="preserve"> </w:t>
      </w:r>
      <w:r>
        <w:rPr>
          <w:rFonts w:hint="eastAsia"/>
          <w:b w:val="0"/>
          <w:bCs/>
        </w:rPr>
        <w:t>大力发展新质生产力</w:t>
      </w:r>
      <w:r>
        <w:rPr>
          <w:b w:val="0"/>
          <w:bCs/>
        </w:rPr>
        <w:t xml:space="preserve"> </w:t>
      </w:r>
      <w:r>
        <w:rPr>
          <w:rFonts w:hint="eastAsia"/>
          <w:b w:val="0"/>
          <w:bCs/>
        </w:rPr>
        <w:t>加快建设现代化产业体系</w:t>
      </w:r>
      <w:bookmarkEnd w:id="154"/>
      <w:bookmarkEnd w:id="155"/>
    </w:p>
    <w:bookmarkEnd w:id="156"/>
    <w:p w14:paraId="42544C51">
      <w:pPr>
        <w:ind w:firstLine="640"/>
      </w:pPr>
      <w:bookmarkStart w:id="161" w:name="OLE_LINK459"/>
      <w:r>
        <w:rPr>
          <w:rFonts w:hint="eastAsia"/>
        </w:rPr>
        <w:t>坚持产业差异化、特色化发展，做大做强生物化工、</w:t>
      </w:r>
      <w:bookmarkStart w:id="162" w:name="OLE_LINK234"/>
      <w:bookmarkStart w:id="163" w:name="OLE_LINK236"/>
      <w:r>
        <w:rPr>
          <w:rFonts w:hint="eastAsia"/>
        </w:rPr>
        <w:t>新能源、</w:t>
      </w:r>
      <w:bookmarkEnd w:id="162"/>
      <w:bookmarkEnd w:id="163"/>
      <w:r>
        <w:rPr>
          <w:rFonts w:hint="eastAsia"/>
        </w:rPr>
        <w:t>新材料三大主导产业，聚力打造</w:t>
      </w:r>
      <w:r>
        <w:rPr>
          <w:rFonts w:hint="eastAsia" w:ascii="仿宋_GB2312" w:cs="仿宋_GB2312"/>
          <w:szCs w:val="32"/>
        </w:rPr>
        <w:t>全国绿色氢基能源生产基地、东北绿色生物化工产业示范园区、</w:t>
      </w:r>
      <w:bookmarkStart w:id="164" w:name="OLE_LINK200"/>
      <w:r>
        <w:rPr>
          <w:rFonts w:hint="eastAsia" w:ascii="仿宋_GB2312" w:cs="仿宋_GB2312"/>
          <w:szCs w:val="32"/>
        </w:rPr>
        <w:t>沈阳北部新材料产业基地</w:t>
      </w:r>
      <w:bookmarkEnd w:id="164"/>
      <w:r>
        <w:rPr>
          <w:rFonts w:hint="eastAsia" w:ascii="仿宋_GB2312" w:cs="仿宋_GB2312"/>
          <w:szCs w:val="32"/>
        </w:rPr>
        <w:t>。</w:t>
      </w:r>
      <w:r>
        <w:rPr>
          <w:rFonts w:hint="eastAsia"/>
        </w:rPr>
        <w:t>到2030年，规模以上工业增加值年均增长15%左右。</w:t>
      </w:r>
      <w:bookmarkEnd w:id="161"/>
    </w:p>
    <w:p w14:paraId="09AFDB85">
      <w:pPr>
        <w:pStyle w:val="3"/>
        <w:spacing w:before="217" w:after="217"/>
      </w:pPr>
      <w:bookmarkStart w:id="165" w:name="_Toc237336656"/>
      <w:bookmarkStart w:id="166" w:name="_Toc212368724"/>
      <w:bookmarkStart w:id="167" w:name="_Toc213350197"/>
      <w:bookmarkStart w:id="168" w:name="OLE_LINK322"/>
      <w:bookmarkStart w:id="169" w:name="OLE_LINK326"/>
      <w:bookmarkStart w:id="170" w:name="OLE_LINK46"/>
      <w:bookmarkStart w:id="171" w:name="OLE_LINK39"/>
      <w:r>
        <w:rPr>
          <w:rFonts w:hint="eastAsia"/>
        </w:rPr>
        <w:t xml:space="preserve">第一节 </w:t>
      </w:r>
      <w:bookmarkStart w:id="172" w:name="OLE_LINK100"/>
      <w:bookmarkStart w:id="173" w:name="OLE_LINK99"/>
      <w:r>
        <w:rPr>
          <w:rFonts w:hint="eastAsia"/>
        </w:rPr>
        <w:t>重点发展</w:t>
      </w:r>
      <w:bookmarkEnd w:id="172"/>
      <w:bookmarkEnd w:id="173"/>
      <w:r>
        <w:rPr>
          <w:rFonts w:hint="eastAsia"/>
        </w:rPr>
        <w:t>生物化工产业</w:t>
      </w:r>
      <w:bookmarkEnd w:id="165"/>
      <w:bookmarkEnd w:id="166"/>
      <w:bookmarkEnd w:id="167"/>
    </w:p>
    <w:bookmarkEnd w:id="168"/>
    <w:bookmarkEnd w:id="169"/>
    <w:p w14:paraId="1F3E1501">
      <w:pPr>
        <w:ind w:firstLine="640"/>
      </w:pPr>
      <w:r>
        <w:rPr>
          <w:rFonts w:hint="eastAsia"/>
        </w:rPr>
        <w:t>加快发展绿色液体燃料产业，打造从清洁能源到绿电、从绿电到绿氢、从绿氢到绿色氨醇油的绿色能源主导产业，推动风光制氢融合生物质绿色醇油示范项目建设，打造区域绿色液体燃料输配网络枢纽。全力延伸绿氨绿醇产业链条，着力推动绿氨向绿色氮肥制造、燃料电池等领域深度拓展；推动绿色甲醇向下游发展烯烃、甲醛、醋酸等化学中间品产业，吸引高端涂料、高端建材、光伏组件等下游产业集聚。大力发展生物制造产业，以县域农林畜废弃物等生物质资源为基础，以发酵、酶解等生物技术为核心，重点发展聚乳酸、医药中间体、酶制剂、重组蛋白等生物基化学品，培育具有竞争力的</w:t>
      </w:r>
      <w:bookmarkStart w:id="174" w:name="OLE_LINK187"/>
      <w:bookmarkStart w:id="175" w:name="OLE_LINK183"/>
      <w:r>
        <w:rPr>
          <w:rFonts w:hint="eastAsia"/>
        </w:rPr>
        <w:t>生物制造产业</w:t>
      </w:r>
      <w:bookmarkEnd w:id="174"/>
      <w:bookmarkEnd w:id="175"/>
      <w:r>
        <w:rPr>
          <w:rFonts w:hint="eastAsia"/>
        </w:rPr>
        <w:t>。推动发展绿色精细化工产业，立足沈阳市生物医药、芯片制造等重点产业集群，积极布局绿色高效催化剂、超净高纯试剂、医用材料等精细化工产品项目，构建具有特色的精细化工产业体系。到2030年，生物化工产业规模以上工业产值力争达到50亿元。</w:t>
      </w:r>
    </w:p>
    <w:p w14:paraId="01E830F5">
      <w:pPr>
        <w:pStyle w:val="3"/>
        <w:spacing w:before="217" w:after="217"/>
      </w:pPr>
      <w:bookmarkStart w:id="176" w:name="_Toc237336657"/>
      <w:r>
        <w:rPr>
          <w:rFonts w:hint="eastAsia"/>
        </w:rPr>
        <w:t>第二节</w:t>
      </w:r>
      <w:r>
        <w:t xml:space="preserve"> 持续壮大新</w:t>
      </w:r>
      <w:r>
        <w:rPr>
          <w:rFonts w:hint="eastAsia"/>
        </w:rPr>
        <w:t>能源产业</w:t>
      </w:r>
      <w:bookmarkEnd w:id="176"/>
    </w:p>
    <w:p w14:paraId="420C2D51">
      <w:pPr>
        <w:ind w:firstLine="640"/>
        <w:rPr>
          <w:rFonts w:ascii="仿宋_GB2312" w:hAnsi="仿宋_GB2312" w:cs="仿宋_GB2312"/>
          <w:szCs w:val="32"/>
        </w:rPr>
      </w:pPr>
      <w:bookmarkStart w:id="177" w:name="OLE_LINK310"/>
      <w:bookmarkStart w:id="178" w:name="OLE_LINK309"/>
      <w:r>
        <w:t>推动风电扩能升级</w:t>
      </w:r>
      <w:r>
        <w:rPr>
          <w:rFonts w:hint="eastAsia"/>
        </w:rPr>
        <w:t>，科学合理开发县域现有存量风光资源，开展现有老旧风机“以大代小”等容替代，加快分散式风电开发利用。构建新型电力系统，</w:t>
      </w:r>
      <w:r>
        <w:rPr>
          <w:rFonts w:ascii="仿宋_GB2312" w:hAnsi="仿宋_GB2312" w:cs="仿宋_GB2312"/>
          <w:szCs w:val="32"/>
        </w:rPr>
        <w:t>统筹谋划存量清洁能源弃风弃光+新建风电项目+电网供电的多维度供电侧，绿电直连微网+自发自用专网+国网公司大网的多网型传输侧，打造兼具增量配网、绿电直连、微电网、虚拟电厂等优势的多型融合新型电力系统示范县。</w:t>
      </w:r>
      <w:r>
        <w:rPr>
          <w:rFonts w:hint="eastAsia" w:ascii="仿宋_GB2312" w:hAnsi="仿宋_GB2312" w:cs="仿宋_GB2312"/>
          <w:szCs w:val="32"/>
        </w:rPr>
        <w:t>加快绿电本地消纳，重点发展</w:t>
      </w:r>
      <w:r>
        <w:rPr>
          <w:rFonts w:ascii="仿宋_GB2312" w:hAnsi="仿宋_GB2312" w:cs="仿宋_GB2312"/>
          <w:szCs w:val="32"/>
        </w:rPr>
        <w:t>绿色液体燃料、算力中心、石墨电极等</w:t>
      </w:r>
      <w:r>
        <w:rPr>
          <w:rFonts w:hint="eastAsia" w:ascii="仿宋_GB2312" w:hAnsi="仿宋_GB2312" w:cs="仿宋_GB2312"/>
          <w:szCs w:val="32"/>
        </w:rPr>
        <w:t>高用电负荷项目，促进新能源就地消纳。</w:t>
      </w:r>
      <w:r>
        <w:rPr>
          <w:rFonts w:hint="eastAsia"/>
        </w:rPr>
        <w:t>积极</w:t>
      </w:r>
      <w:r>
        <w:t>培育储能产业</w:t>
      </w:r>
      <w:r>
        <w:rPr>
          <w:rFonts w:hint="eastAsia"/>
        </w:rPr>
        <w:t>，</w:t>
      </w:r>
      <w:r>
        <w:t>加快引入储能电池制造、储能电站等重大项目</w:t>
      </w:r>
      <w:r>
        <w:rPr>
          <w:rFonts w:hint="eastAsia"/>
        </w:rPr>
        <w:t>，提升清洁能源利用质效。发展新能源装备制造业，重点引进风机塔筒、电解槽等装备制造企业，补齐新能源产业链前端环节。</w:t>
      </w:r>
      <w:bookmarkEnd w:id="177"/>
      <w:bookmarkEnd w:id="178"/>
      <w:r>
        <w:rPr>
          <w:rFonts w:hint="eastAsia"/>
        </w:rPr>
        <w:t>到2030年，清洁能源产业产值达到30亿元，储能装机规模达到100MW，</w:t>
      </w:r>
      <w:bookmarkStart w:id="179" w:name="OLE_LINK312"/>
      <w:bookmarkStart w:id="180" w:name="OLE_LINK311"/>
      <w:r>
        <w:rPr>
          <w:rFonts w:hint="eastAsia"/>
        </w:rPr>
        <w:t>绿色算力规模达到</w:t>
      </w:r>
      <w:r>
        <w:t>5000P</w:t>
      </w:r>
      <w:r>
        <w:rPr>
          <w:rFonts w:hint="eastAsia"/>
        </w:rPr>
        <w:t>，打造东北区域绿色</w:t>
      </w:r>
      <w:bookmarkStart w:id="181" w:name="OLE_LINK244"/>
      <w:r>
        <w:rPr>
          <w:rFonts w:hint="eastAsia"/>
        </w:rPr>
        <w:t>算力枢纽</w:t>
      </w:r>
      <w:bookmarkEnd w:id="181"/>
      <w:r>
        <w:rPr>
          <w:rFonts w:hint="eastAsia"/>
        </w:rPr>
        <w:t>。</w:t>
      </w:r>
    </w:p>
    <w:bookmarkEnd w:id="179"/>
    <w:bookmarkEnd w:id="180"/>
    <w:p w14:paraId="73E789A0">
      <w:pPr>
        <w:pStyle w:val="3"/>
        <w:spacing w:before="217" w:after="217"/>
      </w:pPr>
      <w:bookmarkStart w:id="182" w:name="_Toc237336658"/>
      <w:r>
        <w:rPr>
          <w:rFonts w:hint="eastAsia"/>
        </w:rPr>
        <w:t>第三节</w:t>
      </w:r>
      <w:r>
        <w:t xml:space="preserve"> </w:t>
      </w:r>
      <w:bookmarkStart w:id="183" w:name="OLE_LINK105"/>
      <w:bookmarkStart w:id="184" w:name="OLE_LINK101"/>
      <w:r>
        <w:rPr>
          <w:rFonts w:hint="eastAsia"/>
        </w:rPr>
        <w:t>加快发展</w:t>
      </w:r>
      <w:bookmarkEnd w:id="183"/>
      <w:bookmarkEnd w:id="184"/>
      <w:r>
        <w:t>新</w:t>
      </w:r>
      <w:r>
        <w:rPr>
          <w:rFonts w:hint="eastAsia"/>
        </w:rPr>
        <w:t>材料产业</w:t>
      </w:r>
      <w:bookmarkEnd w:id="182"/>
    </w:p>
    <w:p w14:paraId="05FC824B">
      <w:pPr>
        <w:ind w:firstLine="640"/>
        <w:rPr>
          <w:rFonts w:cs="仿宋_GB2312"/>
          <w:szCs w:val="32"/>
        </w:rPr>
      </w:pPr>
      <w:r>
        <w:rPr>
          <w:rFonts w:cs="Times New Roman"/>
          <w:szCs w:val="32"/>
        </w:rPr>
        <w:t>叫响</w:t>
      </w:r>
      <w:r>
        <w:rPr>
          <w:rFonts w:hint="eastAsia" w:cs="Times New Roman"/>
          <w:szCs w:val="32"/>
        </w:rPr>
        <w:t>“</w:t>
      </w:r>
      <w:r>
        <w:rPr>
          <w:rFonts w:cs="Times New Roman"/>
        </w:rPr>
        <w:t>中国塑编城·康平</w:t>
      </w:r>
      <w:r>
        <w:rPr>
          <w:rFonts w:hint="eastAsia" w:cs="Times New Roman"/>
        </w:rPr>
        <w:t>”</w:t>
      </w:r>
      <w:r>
        <w:rPr>
          <w:rFonts w:cs="Times New Roman"/>
          <w:szCs w:val="32"/>
        </w:rPr>
        <w:t>品牌，重点培育和引进一批国内领先的塑料编织制品大型企业，加速推动塑料编织制品由低端向中高端转变，鼓励和支持塑料编织企业向应用功能化、生产自动化、市场国际化方向发展，实现产业能级跃升。培育生物基新材料，面向农用地膜减污降残、食品包装绿色升级等需求，重点发展聚乳酸、生物纤维素等可降解材料，加强可降解材料规模化应用；聚焦工业废水处理、绿氢装备生产等核心场景，推动离子渗透膜、OA反渗透膜等高端膜材料的研发与应用。到2030年，新材料产业规模以上工业产值达到8亿元以上。</w:t>
      </w:r>
    </w:p>
    <w:bookmarkEnd w:id="170"/>
    <w:bookmarkEnd w:id="171"/>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0D6F0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232EC3A">
            <w:pPr>
              <w:pStyle w:val="25"/>
              <w:numPr>
                <w:ilvl w:val="0"/>
                <w:numId w:val="1"/>
              </w:numPr>
              <w:ind w:left="0" w:firstLine="0" w:firstLineChars="0"/>
              <w:jc w:val="center"/>
              <w:outlineLvl w:val="3"/>
              <w:rPr>
                <w:rFonts w:eastAsia="楷体"/>
                <w:b/>
                <w:sz w:val="28"/>
                <w:szCs w:val="28"/>
              </w:rPr>
            </w:pPr>
            <w:bookmarkStart w:id="185" w:name="OLE_LINK522"/>
            <w:bookmarkStart w:id="186" w:name="OLE_LINK521"/>
            <w:r>
              <w:rPr>
                <w:rFonts w:hint="eastAsia" w:eastAsia="楷体"/>
                <w:b/>
                <w:sz w:val="28"/>
                <w:szCs w:val="28"/>
              </w:rPr>
              <w:t>产业重点项目</w:t>
            </w:r>
            <w:bookmarkEnd w:id="185"/>
            <w:bookmarkEnd w:id="186"/>
          </w:p>
          <w:p w14:paraId="16CB74FC">
            <w:pPr>
              <w:spacing w:line="320" w:lineRule="exact"/>
              <w:ind w:firstLine="422"/>
              <w:rPr>
                <w:b/>
                <w:sz w:val="21"/>
                <w:szCs w:val="21"/>
              </w:rPr>
            </w:pPr>
            <w:r>
              <w:rPr>
                <w:rFonts w:hint="eastAsia"/>
                <w:b/>
                <w:sz w:val="21"/>
                <w:szCs w:val="21"/>
              </w:rPr>
              <w:t>1.风光制氢融合生物质绿色醇油示范项目。</w:t>
            </w:r>
            <w:bookmarkStart w:id="187" w:name="OLE_LINK169"/>
            <w:bookmarkStart w:id="188" w:name="OLE_LINK166"/>
            <w:r>
              <w:rPr>
                <w:rFonts w:hint="eastAsia"/>
                <w:sz w:val="21"/>
                <w:szCs w:val="21"/>
              </w:rPr>
              <w:t>由年产10万吨绿色甲醇、年产40万吨绿色航油、生物质颗粒碳化项目、新能源电力工程及其他配套产业组成。</w:t>
            </w:r>
          </w:p>
          <w:bookmarkEnd w:id="187"/>
          <w:bookmarkEnd w:id="188"/>
          <w:p w14:paraId="46BD0AAB">
            <w:pPr>
              <w:spacing w:line="320" w:lineRule="exact"/>
              <w:ind w:firstLine="422"/>
              <w:rPr>
                <w:sz w:val="21"/>
                <w:szCs w:val="21"/>
              </w:rPr>
            </w:pPr>
            <w:r>
              <w:rPr>
                <w:rFonts w:hint="eastAsia"/>
                <w:b/>
                <w:sz w:val="21"/>
                <w:szCs w:val="21"/>
              </w:rPr>
              <w:t>2.全钒液流独立储能电站项目。</w:t>
            </w:r>
            <w:r>
              <w:rPr>
                <w:rFonts w:hint="eastAsia"/>
                <w:sz w:val="21"/>
                <w:szCs w:val="21"/>
              </w:rPr>
              <w:t>一期建设一套100MW/400MWh储能系统，新建一座220kV储能升压站，储能系统采用全钒液流电池，并配以13MW/80MWh余热回收热储能系统。二期建设一座与一期规模相同的储能电站。</w:t>
            </w:r>
          </w:p>
          <w:p w14:paraId="2A56F8ED">
            <w:pPr>
              <w:spacing w:line="320" w:lineRule="exact"/>
              <w:ind w:firstLine="422"/>
              <w:rPr>
                <w:b/>
                <w:bCs/>
                <w:sz w:val="21"/>
                <w:szCs w:val="21"/>
              </w:rPr>
            </w:pPr>
            <w:r>
              <w:rPr>
                <w:rFonts w:hint="eastAsia"/>
                <w:b/>
                <w:sz w:val="21"/>
                <w:szCs w:val="21"/>
              </w:rPr>
              <w:t>3</w:t>
            </w:r>
            <w:r>
              <w:rPr>
                <w:rFonts w:hint="eastAsia"/>
                <w:b/>
                <w:bCs/>
                <w:sz w:val="21"/>
                <w:szCs w:val="21"/>
              </w:rPr>
              <w:t>.300MW风电项目。</w:t>
            </w:r>
            <w:r>
              <w:rPr>
                <w:rFonts w:hint="eastAsia"/>
                <w:sz w:val="21"/>
                <w:szCs w:val="21"/>
              </w:rPr>
              <w:t>安装单机容量10MW的风力发电机组，新建两座升压站，安装两台主变压器。</w:t>
            </w:r>
          </w:p>
          <w:p w14:paraId="1FE609B4">
            <w:pPr>
              <w:spacing w:line="320" w:lineRule="exact"/>
              <w:ind w:firstLine="422"/>
              <w:rPr>
                <w:sz w:val="21"/>
                <w:szCs w:val="21"/>
              </w:rPr>
            </w:pPr>
            <w:r>
              <w:rPr>
                <w:rFonts w:hint="eastAsia"/>
                <w:b/>
                <w:bCs/>
                <w:sz w:val="21"/>
                <w:szCs w:val="21"/>
              </w:rPr>
              <w:t>4.200MW风电项目。</w:t>
            </w:r>
            <w:r>
              <w:rPr>
                <w:rFonts w:hint="eastAsia"/>
                <w:sz w:val="21"/>
                <w:szCs w:val="21"/>
              </w:rPr>
              <w:t>规划装机容量为200MW，安装27台风力发电机组。新建一座220</w:t>
            </w:r>
            <w:r>
              <w:rPr>
                <w:sz w:val="21"/>
                <w:szCs w:val="21"/>
              </w:rPr>
              <w:t>k</w:t>
            </w:r>
            <w:r>
              <w:rPr>
                <w:rFonts w:hint="eastAsia"/>
                <w:sz w:val="21"/>
                <w:szCs w:val="21"/>
              </w:rPr>
              <w:t>V升压站，安装一台200MVA主变压器。</w:t>
            </w:r>
          </w:p>
          <w:p w14:paraId="5816E551">
            <w:pPr>
              <w:spacing w:line="320" w:lineRule="exact"/>
              <w:ind w:firstLine="422"/>
              <w:rPr>
                <w:sz w:val="21"/>
                <w:szCs w:val="21"/>
              </w:rPr>
            </w:pPr>
            <w:r>
              <w:rPr>
                <w:rFonts w:hint="eastAsia"/>
                <w:b/>
                <w:bCs/>
                <w:sz w:val="21"/>
                <w:szCs w:val="21"/>
              </w:rPr>
              <w:t>5.干牛粪制绿色甲醇项目。</w:t>
            </w:r>
            <w:bookmarkStart w:id="189" w:name="OLE_LINK358"/>
            <w:bookmarkStart w:id="190" w:name="OLE_LINK357"/>
            <w:r>
              <w:rPr>
                <w:rFonts w:hint="eastAsia"/>
                <w:sz w:val="21"/>
                <w:szCs w:val="21"/>
              </w:rPr>
              <w:t>由年产40万吨/年绿色甲醇或20万吨/年绿色航煤生产线、干牛粪收储中心及新能源电力工程设施组成。</w:t>
            </w:r>
            <w:bookmarkEnd w:id="189"/>
            <w:bookmarkEnd w:id="190"/>
          </w:p>
          <w:p w14:paraId="53D3771E">
            <w:pPr>
              <w:spacing w:line="320" w:lineRule="exact"/>
              <w:ind w:firstLine="422"/>
              <w:rPr>
                <w:b/>
                <w:sz w:val="21"/>
                <w:szCs w:val="21"/>
              </w:rPr>
            </w:pPr>
            <w:r>
              <w:rPr>
                <w:rFonts w:hint="eastAsia"/>
                <w:b/>
                <w:sz w:val="21"/>
                <w:szCs w:val="21"/>
              </w:rPr>
              <w:t>6.再生资源产业园项目。</w:t>
            </w:r>
            <w:r>
              <w:rPr>
                <w:rFonts w:hint="eastAsia"/>
                <w:sz w:val="21"/>
                <w:szCs w:val="21"/>
              </w:rPr>
              <w:t>项目将采用先进的再生处理工艺，建设并运营一个环保再生塑料生产基地，致力于实现资源的循环利用。</w:t>
            </w:r>
          </w:p>
          <w:p w14:paraId="322B801B">
            <w:pPr>
              <w:spacing w:line="320" w:lineRule="exact"/>
              <w:ind w:firstLine="422"/>
              <w:rPr>
                <w:sz w:val="21"/>
                <w:szCs w:val="21"/>
              </w:rPr>
            </w:pPr>
            <w:r>
              <w:rPr>
                <w:rFonts w:hint="eastAsia"/>
                <w:b/>
                <w:sz w:val="21"/>
                <w:szCs w:val="21"/>
              </w:rPr>
              <w:t>7.畜禽粪污耦合风电制备绿色生物质LNG项目。</w:t>
            </w:r>
            <w:r>
              <w:rPr>
                <w:rFonts w:hint="eastAsia"/>
                <w:sz w:val="21"/>
                <w:szCs w:val="21"/>
              </w:rPr>
              <w:t>利用畜禽废污及农林废弃物建设年产2200万立方的绿色生物质LNG项目，同步配套新能源电力工程。</w:t>
            </w:r>
          </w:p>
          <w:p w14:paraId="085B3E27">
            <w:pPr>
              <w:spacing w:line="320" w:lineRule="exact"/>
              <w:ind w:firstLine="422"/>
              <w:rPr>
                <w:sz w:val="21"/>
                <w:szCs w:val="21"/>
              </w:rPr>
            </w:pPr>
            <w:r>
              <w:rPr>
                <w:b/>
                <w:sz w:val="21"/>
                <w:szCs w:val="21"/>
              </w:rPr>
              <w:t>8.</w:t>
            </w:r>
            <w:r>
              <w:rPr>
                <w:rFonts w:hint="eastAsia"/>
                <w:b/>
                <w:sz w:val="21"/>
                <w:szCs w:val="21"/>
              </w:rPr>
              <w:t>区域绿色液体燃料管道输送项目。</w:t>
            </w:r>
            <w:r>
              <w:rPr>
                <w:rFonts w:hint="eastAsia"/>
                <w:sz w:val="21"/>
                <w:szCs w:val="21"/>
              </w:rPr>
              <w:t>全面开展管道建设和配套设施施工，完成系统调试并投入运营，形成覆盖东北主要区域的绿色液体燃料供应网络。</w:t>
            </w:r>
          </w:p>
          <w:p w14:paraId="6B6ABE0A">
            <w:pPr>
              <w:spacing w:line="320" w:lineRule="exact"/>
              <w:ind w:firstLine="422"/>
              <w:rPr>
                <w:sz w:val="21"/>
                <w:szCs w:val="21"/>
              </w:rPr>
            </w:pPr>
            <w:r>
              <w:rPr>
                <w:b/>
                <w:sz w:val="21"/>
                <w:szCs w:val="21"/>
              </w:rPr>
              <w:t>9</w:t>
            </w:r>
            <w:r>
              <w:rPr>
                <w:rFonts w:hint="eastAsia"/>
                <w:b/>
                <w:sz w:val="21"/>
                <w:szCs w:val="21"/>
              </w:rPr>
              <w:t>.绿能碳材生产项目。</w:t>
            </w:r>
            <w:r>
              <w:rPr>
                <w:rFonts w:hint="eastAsia"/>
                <w:sz w:val="21"/>
                <w:szCs w:val="21"/>
              </w:rPr>
              <w:t>建设年产</w:t>
            </w:r>
            <w:r>
              <w:rPr>
                <w:sz w:val="21"/>
                <w:szCs w:val="21"/>
              </w:rPr>
              <w:t>10</w:t>
            </w:r>
            <w:r>
              <w:rPr>
                <w:rFonts w:hint="eastAsia"/>
                <w:sz w:val="21"/>
                <w:szCs w:val="21"/>
              </w:rPr>
              <w:t>万吨石墨电极、特种石墨和锂电池负极材料生产线、研发中心及配套设施。</w:t>
            </w:r>
          </w:p>
          <w:p w14:paraId="1F6EF37E">
            <w:pPr>
              <w:spacing w:line="320" w:lineRule="exact"/>
              <w:ind w:firstLine="422"/>
              <w:rPr>
                <w:sz w:val="21"/>
                <w:szCs w:val="21"/>
              </w:rPr>
            </w:pPr>
            <w:r>
              <w:rPr>
                <w:rFonts w:hint="eastAsia"/>
                <w:b/>
                <w:sz w:val="21"/>
                <w:szCs w:val="21"/>
              </w:rPr>
              <w:t>1</w:t>
            </w:r>
            <w:r>
              <w:rPr>
                <w:b/>
                <w:sz w:val="21"/>
                <w:szCs w:val="21"/>
              </w:rPr>
              <w:t>0</w:t>
            </w:r>
            <w:r>
              <w:rPr>
                <w:rFonts w:hint="eastAsia"/>
                <w:b/>
                <w:sz w:val="21"/>
                <w:szCs w:val="21"/>
              </w:rPr>
              <w:t>.</w:t>
            </w:r>
            <w:bookmarkStart w:id="191" w:name="OLE_LINK136"/>
            <w:bookmarkStart w:id="192" w:name="OLE_LINK137"/>
            <w:r>
              <w:rPr>
                <w:rFonts w:hint="eastAsia"/>
                <w:b/>
                <w:sz w:val="21"/>
                <w:szCs w:val="21"/>
              </w:rPr>
              <w:t>复合高分子新材料产业园建设项目</w:t>
            </w:r>
            <w:bookmarkEnd w:id="191"/>
            <w:bookmarkEnd w:id="192"/>
            <w:r>
              <w:rPr>
                <w:rFonts w:hint="eastAsia"/>
                <w:b/>
                <w:sz w:val="21"/>
                <w:szCs w:val="21"/>
              </w:rPr>
              <w:t>。</w:t>
            </w:r>
            <w:r>
              <w:rPr>
                <w:rFonts w:hint="eastAsia"/>
                <w:sz w:val="21"/>
                <w:szCs w:val="21"/>
              </w:rPr>
              <w:t>包含建设道路、标准化厂房等，铺设给水管道、雨水管线、污水管线，敷设电力线路等。</w:t>
            </w:r>
          </w:p>
          <w:p w14:paraId="4F92684A">
            <w:pPr>
              <w:spacing w:line="320" w:lineRule="exact"/>
              <w:ind w:firstLine="422"/>
              <w:rPr>
                <w:sz w:val="21"/>
                <w:szCs w:val="21"/>
              </w:rPr>
            </w:pPr>
            <w:r>
              <w:rPr>
                <w:b/>
                <w:sz w:val="21"/>
                <w:szCs w:val="21"/>
              </w:rPr>
              <w:t>11.</w:t>
            </w:r>
            <w:r>
              <w:rPr>
                <w:rFonts w:hint="eastAsia"/>
                <w:b/>
                <w:sz w:val="21"/>
                <w:szCs w:val="21"/>
              </w:rPr>
              <w:t>东北区域绿色算力枢纽项目。</w:t>
            </w:r>
            <w:r>
              <w:rPr>
                <w:rFonts w:hint="eastAsia"/>
                <w:sz w:val="21"/>
                <w:szCs w:val="21"/>
              </w:rPr>
              <w:t>完善算力调度平台和配套基础设施，形成完整的算力产业链，包括服务器制造、数据安全、云计算服务等环节。</w:t>
            </w:r>
          </w:p>
        </w:tc>
      </w:tr>
    </w:tbl>
    <w:p w14:paraId="0DA3CA26">
      <w:pPr>
        <w:pStyle w:val="3"/>
        <w:spacing w:before="217" w:after="217"/>
      </w:pPr>
      <w:bookmarkStart w:id="193" w:name="_Toc237336659"/>
      <w:r>
        <w:rPr>
          <w:rFonts w:hint="eastAsia"/>
        </w:rPr>
        <w:t xml:space="preserve">第四节 </w:t>
      </w:r>
      <w:r>
        <w:t>推进</w:t>
      </w:r>
      <w:r>
        <w:rPr>
          <w:rFonts w:hint="eastAsia"/>
        </w:rPr>
        <w:t>科技创新和产业创新深度融合</w:t>
      </w:r>
      <w:bookmarkEnd w:id="193"/>
    </w:p>
    <w:p w14:paraId="0AA8AA2C">
      <w:pPr>
        <w:spacing w:line="579" w:lineRule="exact"/>
        <w:ind w:firstLine="640"/>
        <w:rPr>
          <w:rFonts w:cs="仿宋_GB2312"/>
          <w:szCs w:val="32"/>
        </w:rPr>
      </w:pPr>
      <w:r>
        <w:rPr>
          <w:rFonts w:hint="eastAsia" w:cs="Times New Roman"/>
        </w:rPr>
        <w:t>统筹推进创新平台建设和创新主体培育，推动产业链、创新链、人才链精准对接与协同发展，以科技创新激发现代化产业发展动能。推进创新平台建设，聚焦生物化工、新材料产业，深化与北京化工大学、沈阳化工大学等战略合作，对接中科院大连化物所及产业链龙头企业共建创新联合体。强化科技成果转化效能，聚焦专利转化关键环节，健全知识产权运营服务体系，提高科技创新成果本地转化水平。激发企业自主创新动能，构建科技企业梯次培育体系。实施“兴沈英才计划”，引进带有重大项目、关键技术、带动新兴产业的科技领军人才及团队。到2030年，高新技术企业达到50家、“雏鹰”企业达到10家、“瞪羚”企业达到</w:t>
      </w:r>
      <w:r>
        <w:rPr>
          <w:rFonts w:cs="Times New Roman"/>
        </w:rPr>
        <w:t>3</w:t>
      </w:r>
      <w:r>
        <w:rPr>
          <w:rFonts w:hint="eastAsia" w:cs="Times New Roman"/>
        </w:rPr>
        <w:t>家。</w:t>
      </w:r>
    </w:p>
    <w:p w14:paraId="0006E182">
      <w:pPr>
        <w:pStyle w:val="3"/>
        <w:spacing w:before="217" w:after="217"/>
      </w:pPr>
      <w:bookmarkStart w:id="194" w:name="_Toc237336660"/>
      <w:r>
        <w:t>第</w:t>
      </w:r>
      <w:r>
        <w:rPr>
          <w:rFonts w:hint="eastAsia"/>
        </w:rPr>
        <w:t>五</w:t>
      </w:r>
      <w:r>
        <w:t>节</w:t>
      </w:r>
      <w:r>
        <w:rPr>
          <w:rFonts w:hint="eastAsia"/>
        </w:rPr>
        <w:t xml:space="preserve"> 加快推动制造业“智改数转”</w:t>
      </w:r>
      <w:bookmarkEnd w:id="194"/>
    </w:p>
    <w:p w14:paraId="6533034B">
      <w:pPr>
        <w:ind w:firstLine="640"/>
      </w:pPr>
      <w:r>
        <w:rPr>
          <w:rFonts w:hint="eastAsia" w:cs="Times New Roman"/>
        </w:rPr>
        <w:t>围绕</w:t>
      </w:r>
      <w:r>
        <w:rPr>
          <w:rFonts w:cs="Times New Roman"/>
        </w:rPr>
        <w:t>产业高端化、智能化、绿色化发展，</w:t>
      </w:r>
      <w:r>
        <w:rPr>
          <w:rFonts w:hint="eastAsia" w:cs="Times New Roman"/>
        </w:rPr>
        <w:t>激发企业高质量发展核心驱动力。</w:t>
      </w:r>
      <w:bookmarkStart w:id="195" w:name="OLE_LINK107"/>
      <w:bookmarkStart w:id="196" w:name="OLE_LINK115"/>
      <w:r>
        <w:rPr>
          <w:rFonts w:hint="eastAsia" w:cs="仿宋_GB2312"/>
          <w:szCs w:val="32"/>
        </w:rPr>
        <w:t>梯次培育一批智能工厂，建设一批数字化车间，推动中小企业数字化转型。加快数字基础设施布局，深化“</w:t>
      </w:r>
      <w:r>
        <w:rPr>
          <w:rFonts w:cs="仿宋_GB2312"/>
          <w:szCs w:val="32"/>
        </w:rPr>
        <w:t>5G+</w:t>
      </w:r>
      <w:r>
        <w:rPr>
          <w:rFonts w:hint="eastAsia" w:cs="仿宋_GB2312"/>
          <w:szCs w:val="32"/>
        </w:rPr>
        <w:t>工业互联网”融合应用，引导产业园区聚焦智能基础设施、产业协同和绿色发展，打造高标准产业数字园区。落实沈阳市绿色制造发展要求，广泛开展绿色制造企业培育，建设一批绿色工厂、绿色供应链。</w:t>
      </w:r>
      <w:bookmarkEnd w:id="195"/>
      <w:bookmarkEnd w:id="196"/>
      <w:r>
        <w:rPr>
          <w:rFonts w:hint="eastAsia" w:cs="仿宋_GB2312"/>
          <w:szCs w:val="32"/>
        </w:rPr>
        <w:t>到</w:t>
      </w:r>
      <w:r>
        <w:rPr>
          <w:rFonts w:cs="仿宋_GB2312"/>
          <w:szCs w:val="32"/>
        </w:rPr>
        <w:t>2030</w:t>
      </w:r>
      <w:r>
        <w:rPr>
          <w:rFonts w:hint="eastAsia" w:cs="仿宋_GB2312"/>
          <w:szCs w:val="32"/>
        </w:rPr>
        <w:t>年，实现规上工业企业数字化转型全覆盖，规下工业企业数字化转型覆盖率达到</w:t>
      </w:r>
      <w:r>
        <w:rPr>
          <w:rFonts w:cs="仿宋_GB2312"/>
          <w:szCs w:val="32"/>
        </w:rPr>
        <w:t>70%</w:t>
      </w:r>
      <w:r>
        <w:rPr>
          <w:rFonts w:hint="eastAsia" w:cs="仿宋_GB2312"/>
          <w:szCs w:val="32"/>
        </w:rPr>
        <w:t>以上。</w:t>
      </w:r>
    </w:p>
    <w:p w14:paraId="7453ED7E">
      <w:pPr>
        <w:pStyle w:val="2"/>
        <w:spacing w:before="217" w:after="217"/>
        <w:rPr>
          <w:b w:val="0"/>
          <w:bCs/>
        </w:rPr>
      </w:pPr>
      <w:bookmarkStart w:id="197" w:name="_Toc237336661"/>
      <w:bookmarkStart w:id="198" w:name="OLE_LINK62"/>
      <w:bookmarkStart w:id="199" w:name="OLE_LINK16"/>
      <w:r>
        <w:rPr>
          <w:rFonts w:hint="eastAsia"/>
          <w:b w:val="0"/>
          <w:bCs/>
        </w:rPr>
        <w:t>第五章 加快发展现代化大农业 全面推进乡村振兴</w:t>
      </w:r>
      <w:bookmarkEnd w:id="197"/>
    </w:p>
    <w:p w14:paraId="14F70D71">
      <w:pPr>
        <w:ind w:firstLine="640"/>
      </w:pPr>
      <w:r>
        <w:rPr>
          <w:rFonts w:hint="eastAsia"/>
        </w:rPr>
        <w:t>坚持农业农村优先发展，以维护国家粮食安全，确保脱贫人口不发生规模性返贫致贫为底线，以提升乡村产业发展水平、乡村建设水平、乡村治理水平为重点，推动农业全面升级、农村全面进步、农民全面发展。到2030年，</w:t>
      </w:r>
      <w:r>
        <w:rPr>
          <w:rFonts w:hint="eastAsia" w:ascii="仿宋_GB2312"/>
        </w:rPr>
        <w:t>创建辽宁省特色农业县、国家农业现代化示范区，确保</w:t>
      </w:r>
      <w:r>
        <w:rPr>
          <w:rFonts w:hint="eastAsia"/>
        </w:rPr>
        <w:t>农业农村现代化取得阶段性进展。</w:t>
      </w:r>
    </w:p>
    <w:p w14:paraId="6A26AD0F">
      <w:pPr>
        <w:pStyle w:val="3"/>
        <w:spacing w:before="217" w:after="217"/>
      </w:pPr>
      <w:bookmarkStart w:id="200" w:name="_Toc237336662"/>
      <w:r>
        <w:rPr>
          <w:rFonts w:hint="eastAsia"/>
        </w:rPr>
        <w:t>第一节</w:t>
      </w:r>
      <w:r>
        <w:t xml:space="preserve"> </w:t>
      </w:r>
      <w:r>
        <w:rPr>
          <w:rFonts w:hint="eastAsia"/>
        </w:rPr>
        <w:t>坚决维护粮食安全</w:t>
      </w:r>
      <w:bookmarkEnd w:id="200"/>
    </w:p>
    <w:p w14:paraId="6EB410F3">
      <w:pPr>
        <w:ind w:firstLine="643"/>
      </w:pPr>
      <w:r>
        <w:rPr>
          <w:rFonts w:hint="eastAsia"/>
          <w:b/>
        </w:rPr>
        <w:t>提高粮食综合生产能力。</w:t>
      </w:r>
      <w:r>
        <w:rPr>
          <w:rFonts w:hint="eastAsia"/>
        </w:rPr>
        <w:t>守牢耕地和永久基本农田保护红线，深入实施黑土地保护、农田沟渠修复与涝区治理工程，将具备条件的永久基本农田100%建成高标准农田。深入实施新一轮千亿斤粮食产能提升行动和大面积单产提升行动，重点推进绿色高产高效行动、单产提升、产油大县等项目建设。持续推动耕地轮作工作，力争大豆油料耕种总量达到15万亩以上。</w:t>
      </w:r>
      <w:r>
        <w:t>创新农技推广服务体系，深化与</w:t>
      </w:r>
      <w:r>
        <w:rPr>
          <w:rFonts w:hint="eastAsia"/>
        </w:rPr>
        <w:t>省农科院、沈阳农业大学、沈阳大学</w:t>
      </w:r>
      <w:r>
        <w:t>等科研院所合作，新增50个农业科技试验示范基地</w:t>
      </w:r>
      <w:r>
        <w:rPr>
          <w:rFonts w:hint="eastAsia"/>
        </w:rPr>
        <w:t>，加速农业科技成果转化应用。到</w:t>
      </w:r>
      <w:r>
        <w:t>2030</w:t>
      </w:r>
      <w:r>
        <w:rPr>
          <w:rFonts w:hint="eastAsia"/>
        </w:rPr>
        <w:t>年，年粮食播种面积稳定在135万亩以上，粮食产量稳定在</w:t>
      </w:r>
      <w:r>
        <w:t>13</w:t>
      </w:r>
      <w:r>
        <w:rPr>
          <w:rFonts w:hint="eastAsia"/>
        </w:rPr>
        <w:t>亿斤以上。</w:t>
      </w:r>
    </w:p>
    <w:p w14:paraId="228A4657">
      <w:pPr>
        <w:ind w:firstLine="643"/>
      </w:pPr>
      <w:r>
        <w:rPr>
          <w:rFonts w:hint="eastAsia"/>
          <w:b/>
        </w:rPr>
        <w:t>强化粮食“产储销”综合能力。</w:t>
      </w:r>
      <w:r>
        <w:rPr>
          <w:rFonts w:hint="eastAsia"/>
        </w:rPr>
        <w:t>积极融入“北粮南运”物流网络，推进仓储设施标准化改造与绿色智能储粮技术应用。加强与周边物流枢纽衔接协作，重点提升玉米、花生等主导农产品的向外输送能力，确保粮食物流高效畅通。深入实施粮食品牌提升战略，鼓励粮食企业参评“中国好粮油”“辽宁好粮油”，强化品牌品质管控与市场推广。到2030年，新增“好粮油”产品2个以上，全面提升康平优质粮食的市场认可度和核心竞争力。</w:t>
      </w:r>
    </w:p>
    <w:tbl>
      <w:tblPr>
        <w:tblStyle w:val="35"/>
        <w:tblW w:w="8303" w:type="dxa"/>
        <w:tblInd w:w="17" w:type="dxa"/>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Layout w:type="fixed"/>
        <w:tblCellMar>
          <w:top w:w="0" w:type="dxa"/>
          <w:left w:w="0" w:type="dxa"/>
          <w:bottom w:w="0" w:type="dxa"/>
          <w:right w:w="0" w:type="dxa"/>
        </w:tblCellMar>
      </w:tblPr>
      <w:tblGrid>
        <w:gridCol w:w="8303"/>
      </w:tblGrid>
      <w:tr w14:paraId="3CB3E9D6">
        <w:tblPrEx>
          <w:tblBorders>
            <w:top w:val="single" w:color="000000" w:sz="2" w:space="0"/>
            <w:left w:val="single" w:color="000000" w:sz="2" w:space="0"/>
            <w:bottom w:val="single" w:color="000000" w:sz="2" w:space="0"/>
            <w:right w:val="single" w:color="000000" w:sz="2" w:space="0"/>
            <w:insideH w:val="none" w:color="auto" w:sz="0" w:space="0"/>
            <w:insideV w:val="none" w:color="auto" w:sz="0" w:space="0"/>
          </w:tblBorders>
          <w:tblCellMar>
            <w:top w:w="0" w:type="dxa"/>
            <w:left w:w="0" w:type="dxa"/>
            <w:bottom w:w="0" w:type="dxa"/>
            <w:right w:w="0" w:type="dxa"/>
          </w:tblCellMar>
        </w:tblPrEx>
        <w:trPr>
          <w:trHeight w:val="846" w:hRule="atLeast"/>
        </w:trPr>
        <w:tc>
          <w:tcPr>
            <w:tcW w:w="8303" w:type="dxa"/>
          </w:tcPr>
          <w:p w14:paraId="53B20BE2">
            <w:pPr>
              <w:pStyle w:val="25"/>
              <w:numPr>
                <w:ilvl w:val="0"/>
                <w:numId w:val="1"/>
              </w:numPr>
              <w:ind w:left="0" w:firstLine="0" w:firstLineChars="0"/>
              <w:jc w:val="center"/>
              <w:outlineLvl w:val="3"/>
              <w:rPr>
                <w:rFonts w:eastAsia="楷体" w:cs="Times New Roman"/>
                <w:b/>
                <w:sz w:val="28"/>
                <w:szCs w:val="28"/>
              </w:rPr>
            </w:pPr>
            <w:bookmarkStart w:id="201" w:name="OLE_LINK144"/>
            <w:bookmarkStart w:id="202" w:name="OLE_LINK140"/>
            <w:r>
              <w:rPr>
                <w:rFonts w:hint="eastAsia" w:eastAsia="楷体" w:cs="Times New Roman"/>
                <w:b/>
                <w:sz w:val="28"/>
                <w:szCs w:val="28"/>
              </w:rPr>
              <w:t>粮食安全重点</w:t>
            </w:r>
            <w:bookmarkEnd w:id="201"/>
            <w:bookmarkEnd w:id="202"/>
            <w:r>
              <w:rPr>
                <w:rFonts w:hint="eastAsia" w:eastAsia="楷体" w:cs="Times New Roman"/>
                <w:b/>
                <w:sz w:val="28"/>
                <w:szCs w:val="28"/>
              </w:rPr>
              <w:t>项目</w:t>
            </w:r>
          </w:p>
          <w:p w14:paraId="5FA2C86D">
            <w:pPr>
              <w:spacing w:line="320" w:lineRule="exact"/>
              <w:ind w:firstLine="422"/>
              <w:rPr>
                <w:rFonts w:cs="Times New Roman"/>
                <w:bCs/>
                <w:sz w:val="21"/>
                <w:szCs w:val="21"/>
              </w:rPr>
            </w:pPr>
            <w:r>
              <w:rPr>
                <w:rFonts w:cs="Times New Roman"/>
                <w:b/>
                <w:bCs/>
                <w:sz w:val="21"/>
                <w:szCs w:val="21"/>
              </w:rPr>
              <w:t>1.</w:t>
            </w:r>
            <w:bookmarkStart w:id="203" w:name="OLE_LINK148"/>
            <w:bookmarkStart w:id="204" w:name="OLE_LINK145"/>
            <w:r>
              <w:rPr>
                <w:rFonts w:hint="eastAsia" w:cs="Times New Roman"/>
                <w:b/>
                <w:bCs/>
                <w:sz w:val="21"/>
                <w:szCs w:val="21"/>
              </w:rPr>
              <w:t>高标准农田建设项目</w:t>
            </w:r>
            <w:bookmarkEnd w:id="203"/>
            <w:bookmarkEnd w:id="204"/>
            <w:r>
              <w:rPr>
                <w:rFonts w:hint="eastAsia" w:cs="Times New Roman"/>
                <w:b/>
                <w:bCs/>
                <w:sz w:val="21"/>
                <w:szCs w:val="21"/>
              </w:rPr>
              <w:t>。</w:t>
            </w:r>
            <w:r>
              <w:rPr>
                <w:rFonts w:cs="Times New Roman"/>
                <w:bCs/>
                <w:sz w:val="21"/>
                <w:szCs w:val="21"/>
              </w:rPr>
              <w:t>实施高标准农田建设，主要包括土地平整、</w:t>
            </w:r>
            <w:r>
              <w:rPr>
                <w:rFonts w:hint="eastAsia" w:cs="Times New Roman"/>
                <w:bCs/>
                <w:sz w:val="21"/>
                <w:szCs w:val="21"/>
              </w:rPr>
              <w:t>土壤改良、灌溉与排水工程、渠系建筑物工程、田间道路工程、农田防护与生态环境保护工程、农田输配电工程。</w:t>
            </w:r>
          </w:p>
          <w:p w14:paraId="1D3BC4C8">
            <w:pPr>
              <w:spacing w:line="320" w:lineRule="exact"/>
              <w:ind w:firstLine="422"/>
              <w:rPr>
                <w:rFonts w:cs="Times New Roman"/>
                <w:bCs/>
                <w:sz w:val="21"/>
                <w:szCs w:val="21"/>
              </w:rPr>
            </w:pPr>
            <w:r>
              <w:rPr>
                <w:rFonts w:cs="Times New Roman"/>
                <w:b/>
                <w:bCs/>
                <w:sz w:val="21"/>
                <w:szCs w:val="21"/>
              </w:rPr>
              <w:t>2.东北黑土区侵蚀沟治理工程项目。</w:t>
            </w:r>
            <w:bookmarkStart w:id="205" w:name="OLE_LINK161"/>
            <w:bookmarkStart w:id="206" w:name="OLE_LINK162"/>
            <w:r>
              <w:rPr>
                <w:rFonts w:cs="Times New Roman"/>
                <w:bCs/>
                <w:sz w:val="21"/>
                <w:szCs w:val="21"/>
              </w:rPr>
              <w:t>治理长度100</w:t>
            </w:r>
            <w:r>
              <w:rPr>
                <w:rFonts w:hint="eastAsia" w:cs="Times New Roman"/>
                <w:bCs/>
                <w:sz w:val="21"/>
                <w:szCs w:val="21"/>
              </w:rPr>
              <w:t>米</w:t>
            </w:r>
            <w:r>
              <w:rPr>
                <w:rFonts w:cs="Times New Roman"/>
                <w:bCs/>
                <w:sz w:val="21"/>
                <w:szCs w:val="21"/>
              </w:rPr>
              <w:t>以上农田侵蚀沟</w:t>
            </w:r>
            <w:r>
              <w:rPr>
                <w:rFonts w:hint="eastAsia" w:cs="Times New Roman"/>
                <w:bCs/>
                <w:sz w:val="21"/>
                <w:szCs w:val="21"/>
              </w:rPr>
              <w:t>约</w:t>
            </w:r>
            <w:r>
              <w:rPr>
                <w:rFonts w:cs="Times New Roman"/>
                <w:bCs/>
                <w:sz w:val="21"/>
                <w:szCs w:val="21"/>
              </w:rPr>
              <w:t>150条，治理发展型侵蚀沟道</w:t>
            </w:r>
            <w:r>
              <w:rPr>
                <w:rFonts w:hint="eastAsia" w:cs="Times New Roman"/>
                <w:bCs/>
                <w:sz w:val="21"/>
                <w:szCs w:val="21"/>
              </w:rPr>
              <w:t>约</w:t>
            </w:r>
            <w:r>
              <w:rPr>
                <w:rFonts w:cs="Times New Roman"/>
                <w:bCs/>
                <w:sz w:val="21"/>
                <w:szCs w:val="21"/>
              </w:rPr>
              <w:t>100条。</w:t>
            </w:r>
            <w:bookmarkEnd w:id="205"/>
            <w:bookmarkEnd w:id="206"/>
          </w:p>
          <w:p w14:paraId="6B33FC37">
            <w:pPr>
              <w:spacing w:line="320" w:lineRule="exact"/>
              <w:ind w:firstLine="422"/>
              <w:rPr>
                <w:rFonts w:cs="Times New Roman"/>
                <w:bCs/>
                <w:sz w:val="21"/>
                <w:szCs w:val="21"/>
              </w:rPr>
            </w:pPr>
            <w:r>
              <w:rPr>
                <w:rFonts w:cs="Times New Roman"/>
                <w:b/>
                <w:bCs/>
                <w:sz w:val="21"/>
                <w:szCs w:val="21"/>
              </w:rPr>
              <w:t>3.</w:t>
            </w:r>
            <w:bookmarkStart w:id="207" w:name="OLE_LINK149"/>
            <w:bookmarkStart w:id="208" w:name="OLE_LINK150"/>
            <w:r>
              <w:rPr>
                <w:rFonts w:cs="Times New Roman"/>
                <w:b/>
                <w:bCs/>
                <w:sz w:val="21"/>
                <w:szCs w:val="21"/>
              </w:rPr>
              <w:t>农田沟渠修复整治和平原涝区治理项目</w:t>
            </w:r>
            <w:bookmarkEnd w:id="207"/>
            <w:bookmarkEnd w:id="208"/>
            <w:r>
              <w:rPr>
                <w:rFonts w:cs="Times New Roman"/>
                <w:b/>
                <w:bCs/>
                <w:sz w:val="21"/>
                <w:szCs w:val="21"/>
              </w:rPr>
              <w:t>。</w:t>
            </w:r>
            <w:bookmarkStart w:id="209" w:name="OLE_LINK172"/>
            <w:bookmarkStart w:id="210" w:name="OLE_LINK164"/>
            <w:r>
              <w:rPr>
                <w:rFonts w:cs="Times New Roman"/>
                <w:bCs/>
                <w:sz w:val="21"/>
                <w:szCs w:val="21"/>
              </w:rPr>
              <w:t>在康平县二牛所口镇、小城子镇、海洲窝堡乡、郝官屯镇、张强镇、沙金台乡</w:t>
            </w:r>
            <w:r>
              <w:rPr>
                <w:rFonts w:hint="eastAsia" w:cs="Times New Roman"/>
                <w:bCs/>
                <w:sz w:val="21"/>
                <w:szCs w:val="21"/>
              </w:rPr>
              <w:t>等地区</w:t>
            </w:r>
            <w:r>
              <w:rPr>
                <w:rFonts w:cs="Times New Roman"/>
                <w:bCs/>
                <w:sz w:val="21"/>
                <w:szCs w:val="21"/>
              </w:rPr>
              <w:t>建设田块整治、渠系建筑物、排水沟清淤、排水沟防护</w:t>
            </w:r>
            <w:r>
              <w:rPr>
                <w:rFonts w:hint="eastAsia" w:cs="Times New Roman"/>
                <w:bCs/>
                <w:sz w:val="21"/>
                <w:szCs w:val="21"/>
              </w:rPr>
              <w:t>等</w:t>
            </w:r>
            <w:r>
              <w:rPr>
                <w:rFonts w:cs="Times New Roman"/>
                <w:bCs/>
                <w:sz w:val="21"/>
                <w:szCs w:val="21"/>
              </w:rPr>
              <w:t>工程。</w:t>
            </w:r>
            <w:bookmarkEnd w:id="209"/>
            <w:bookmarkEnd w:id="210"/>
          </w:p>
        </w:tc>
      </w:tr>
    </w:tbl>
    <w:p w14:paraId="6D306C27">
      <w:pPr>
        <w:pStyle w:val="3"/>
        <w:spacing w:before="217" w:after="217"/>
      </w:pPr>
      <w:bookmarkStart w:id="211" w:name="_Toc237336663"/>
      <w:r>
        <w:rPr>
          <w:rFonts w:hint="eastAsia"/>
        </w:rPr>
        <w:t>第二节</w:t>
      </w:r>
      <w:r>
        <w:t xml:space="preserve"> </w:t>
      </w:r>
      <w:r>
        <w:rPr>
          <w:rFonts w:hint="eastAsia"/>
        </w:rPr>
        <w:t>加快发展特色农业</w:t>
      </w:r>
      <w:bookmarkEnd w:id="211"/>
    </w:p>
    <w:p w14:paraId="42112291">
      <w:pPr>
        <w:ind w:firstLine="643"/>
        <w:rPr>
          <w:b/>
        </w:rPr>
      </w:pPr>
      <w:r>
        <w:rPr>
          <w:rFonts w:hint="eastAsia" w:cs="仿宋_GB2312"/>
          <w:b/>
          <w:szCs w:val="32"/>
        </w:rPr>
        <w:t>构建农副产品供应体系。</w:t>
      </w:r>
      <w:r>
        <w:rPr>
          <w:rFonts w:hint="eastAsia" w:cs="仿宋_GB2312"/>
          <w:szCs w:val="32"/>
        </w:rPr>
        <w:t>发展以红薯、花生、食用菌为核心的特色种植业，红薯种植面积达到5万亩以上，稳定花生种植面积18万亩以上，食用菌产能达到</w:t>
      </w:r>
      <w:r>
        <w:rPr>
          <w:rFonts w:cs="仿宋_GB2312"/>
          <w:szCs w:val="32"/>
        </w:rPr>
        <w:t>4.5</w:t>
      </w:r>
      <w:r>
        <w:rPr>
          <w:rFonts w:hint="eastAsia" w:cs="仿宋_GB2312"/>
          <w:szCs w:val="32"/>
        </w:rPr>
        <w:t>万吨以上。</w:t>
      </w:r>
      <w:r>
        <w:rPr>
          <w:rFonts w:hint="eastAsia"/>
        </w:rPr>
        <w:t>扩大肉鸭产能，加快标准化养殖基地建设，肉鸭产能提升25%，支持龙头企业</w:t>
      </w:r>
      <w:r>
        <w:rPr>
          <w:rFonts w:hint="eastAsia" w:ascii="仿宋_GB2312"/>
        </w:rPr>
        <w:t>拓展海外市场。</w:t>
      </w:r>
      <w:r>
        <w:rPr>
          <w:rFonts w:hint="eastAsia"/>
        </w:rPr>
        <w:t>培育省级以上标准化示范场3家，支持郝官牛市申报农业农村部定点市场。鼓励引导县域市级菜篮子保供基地自动化智能化改造，打造国家数字农业创新应用基地。</w:t>
      </w:r>
    </w:p>
    <w:p w14:paraId="144AF095">
      <w:pPr>
        <w:ind w:firstLine="643"/>
      </w:pPr>
      <w:r>
        <w:rPr>
          <w:rFonts w:hint="eastAsia"/>
          <w:b/>
        </w:rPr>
        <w:t>深化农业产业链升级</w:t>
      </w:r>
      <w:r>
        <w:rPr>
          <w:rFonts w:hint="eastAsia" w:cs="仿宋_GB2312"/>
          <w:szCs w:val="32"/>
        </w:rPr>
        <w:t>。协同推进农产品初加工和精深加工，建强康平朝阳省级农产品加工集聚区，</w:t>
      </w:r>
      <w:r>
        <w:rPr>
          <w:rFonts w:cs="仿宋_GB2312"/>
          <w:szCs w:val="32"/>
        </w:rPr>
        <w:t>推动</w:t>
      </w:r>
      <w:r>
        <w:rPr>
          <w:rFonts w:hint="eastAsia" w:cs="仿宋_GB2312"/>
          <w:szCs w:val="32"/>
        </w:rPr>
        <w:t>传统肉鸭</w:t>
      </w:r>
      <w:r>
        <w:rPr>
          <w:rFonts w:cs="仿宋_GB2312"/>
          <w:szCs w:val="32"/>
        </w:rPr>
        <w:t>屠宰向深加工转型</w:t>
      </w:r>
      <w:r>
        <w:rPr>
          <w:rFonts w:hint="eastAsia" w:cs="仿宋_GB2312"/>
          <w:szCs w:val="32"/>
        </w:rPr>
        <w:t>，重点发展</w:t>
      </w:r>
      <w:r>
        <w:rPr>
          <w:rFonts w:cs="仿宋_GB2312"/>
          <w:szCs w:val="32"/>
        </w:rPr>
        <w:t>休闲</w:t>
      </w:r>
      <w:r>
        <w:rPr>
          <w:rFonts w:hint="eastAsia" w:cs="仿宋_GB2312"/>
          <w:szCs w:val="32"/>
        </w:rPr>
        <w:t>零食</w:t>
      </w:r>
      <w:r>
        <w:rPr>
          <w:rFonts w:cs="仿宋_GB2312"/>
          <w:szCs w:val="32"/>
        </w:rPr>
        <w:t>、</w:t>
      </w:r>
      <w:r>
        <w:rPr>
          <w:rFonts w:hint="eastAsia" w:cs="仿宋_GB2312"/>
          <w:szCs w:val="32"/>
        </w:rPr>
        <w:t>熟</w:t>
      </w:r>
      <w:r>
        <w:rPr>
          <w:rFonts w:cs="仿宋_GB2312"/>
          <w:szCs w:val="32"/>
        </w:rPr>
        <w:t>肉制品</w:t>
      </w:r>
      <w:r>
        <w:rPr>
          <w:rFonts w:hint="eastAsia" w:cs="仿宋_GB2312"/>
          <w:szCs w:val="32"/>
        </w:rPr>
        <w:t>等食品级加工产业。鼓励</w:t>
      </w:r>
      <w:r>
        <w:rPr>
          <w:rFonts w:cs="仿宋_GB2312"/>
          <w:szCs w:val="32"/>
        </w:rPr>
        <w:t>食用菌</w:t>
      </w:r>
      <w:r>
        <w:rPr>
          <w:rFonts w:hint="eastAsia" w:cs="仿宋_GB2312"/>
          <w:szCs w:val="32"/>
        </w:rPr>
        <w:t>在即食食品、火锅食材、</w:t>
      </w:r>
      <w:r>
        <w:rPr>
          <w:rFonts w:cs="仿宋_GB2312"/>
          <w:szCs w:val="32"/>
        </w:rPr>
        <w:t>冻干</w:t>
      </w:r>
      <w:r>
        <w:rPr>
          <w:rFonts w:hint="eastAsia" w:cs="仿宋_GB2312"/>
          <w:szCs w:val="32"/>
        </w:rPr>
        <w:t>食品等领域延链补链，提高产品附加值。</w:t>
      </w:r>
      <w:r>
        <w:rPr>
          <w:rFonts w:hint="eastAsia" w:ascii="仿宋_GB2312"/>
        </w:rPr>
        <w:t>构建玉米、秸秆“收—储—运—用”一体化体系，促进玉米在食品、饲料、化工、能源等领域多层次转化、多环节增值。</w:t>
      </w:r>
      <w:r>
        <w:rPr>
          <w:rFonts w:cs="仿宋_GB2312"/>
          <w:szCs w:val="32"/>
        </w:rPr>
        <w:t>到2030年，</w:t>
      </w:r>
      <w:r>
        <w:rPr>
          <w:rFonts w:hint="eastAsia"/>
        </w:rPr>
        <w:t>农产品深加工产业规模以上工业产值力争达到</w:t>
      </w:r>
      <w:r>
        <w:t>20</w:t>
      </w:r>
      <w:r>
        <w:rPr>
          <w:rFonts w:cs="仿宋_GB2312"/>
          <w:szCs w:val="32"/>
        </w:rPr>
        <w:t>亿元</w:t>
      </w:r>
      <w:r>
        <w:rPr>
          <w:rFonts w:hint="eastAsia" w:cs="仿宋_GB2312"/>
          <w:szCs w:val="32"/>
        </w:rPr>
        <w:t>，新增</w:t>
      </w:r>
      <w:r>
        <w:rPr>
          <w:rFonts w:hint="eastAsia" w:ascii="仿宋_GB2312"/>
        </w:rPr>
        <w:t>国家级农业产业化龙头企业</w:t>
      </w:r>
      <w:r>
        <w:t>1</w:t>
      </w:r>
      <w:r>
        <w:rPr>
          <w:rFonts w:hint="eastAsia" w:ascii="仿宋_GB2312"/>
        </w:rPr>
        <w:t>家、省级农业产业化龙头企业</w:t>
      </w:r>
      <w:r>
        <w:t>2</w:t>
      </w:r>
      <w:r>
        <w:rPr>
          <w:rFonts w:hint="eastAsia" w:ascii="仿宋_GB2312"/>
        </w:rPr>
        <w:t>家和市级农业产业化龙头企业</w:t>
      </w:r>
      <w:r>
        <w:t>5</w:t>
      </w:r>
      <w:r>
        <w:rPr>
          <w:rFonts w:hint="eastAsia" w:ascii="仿宋_GB2312"/>
        </w:rPr>
        <w:t>家</w:t>
      </w:r>
      <w:r>
        <w:rPr>
          <w:rFonts w:hint="eastAsia"/>
        </w:rPr>
        <w:t>。</w:t>
      </w:r>
    </w:p>
    <w:p w14:paraId="17A4540D">
      <w:pPr>
        <w:ind w:firstLine="643"/>
        <w:rPr>
          <w:b/>
        </w:rPr>
      </w:pPr>
      <w:r>
        <w:rPr>
          <w:rFonts w:hint="eastAsia" w:cs="仿宋_GB2312"/>
          <w:b/>
          <w:szCs w:val="32"/>
        </w:rPr>
        <w:t>培育乡村新产业新业态。</w:t>
      </w:r>
      <w:r>
        <w:rPr>
          <w:rFonts w:hint="eastAsia" w:cs="仿宋_GB2312"/>
          <w:szCs w:val="32"/>
        </w:rPr>
        <w:t>深化农文旅融合发展，打造辽河乡村旅游带、环湖乡村旅游带、民俗文化旅游带，因地制宜推进庭院经济、民俗体验、特色民宿等业态发展，培育一批乡村旅游重点村。推动产销深度融合，推广产地直供、基地直播等营销模式，鼓励建立“农事直播+旅游预约”联动机制，积极培育乡村直播达人，培育壮大农村电商产业。完善产地仓储冷链设施，支持新型经营主体建设冷藏保鲜设施，冷藏保鲜设施总库容量达到10万立以上。到2030年，创建休闲农业重点县、</w:t>
      </w:r>
      <w:bookmarkStart w:id="212" w:name="OLE_LINK241"/>
      <w:r>
        <w:rPr>
          <w:rFonts w:hint="eastAsia" w:cs="仿宋_GB2312"/>
          <w:szCs w:val="32"/>
        </w:rPr>
        <w:t>全国农产品骨干冷链物流重点县</w:t>
      </w:r>
      <w:bookmarkEnd w:id="212"/>
      <w:r>
        <w:rPr>
          <w:rFonts w:hint="eastAsia" w:cs="仿宋_GB2312"/>
          <w:szCs w:val="32"/>
        </w:rPr>
        <w:t>。</w:t>
      </w:r>
    </w:p>
    <w:p w14:paraId="64E396FB">
      <w:pPr>
        <w:ind w:firstLine="643"/>
      </w:pPr>
      <w:r>
        <w:rPr>
          <w:rFonts w:hint="eastAsia"/>
          <w:b/>
        </w:rPr>
        <w:t>推动农业品牌提质扩面。</w:t>
      </w:r>
      <w:r>
        <w:rPr>
          <w:rFonts w:hint="eastAsia"/>
        </w:rPr>
        <w:t>做强“康平地瓜”“康平花生”农业品牌，落实主要农产品和特色产品生产技术规程，创建“康平地瓜”“康平花生”2个“全国绿色食品原料标准化生产基地”，提升“康平地瓜”“康平花生”品牌核心竞争力与溢价能力，积极组织申报省级区域公用品牌、“二品一标”认证、“沈阳臻品”，选树3个</w:t>
      </w:r>
      <w:bookmarkStart w:id="213" w:name="OLE_LINK240"/>
      <w:r>
        <w:rPr>
          <w:rFonts w:hint="eastAsia"/>
        </w:rPr>
        <w:t>全国名特优新农产品</w:t>
      </w:r>
      <w:bookmarkEnd w:id="213"/>
      <w:r>
        <w:rPr>
          <w:rFonts w:hint="eastAsia"/>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3D88E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E8D3987">
            <w:pPr>
              <w:pStyle w:val="25"/>
              <w:numPr>
                <w:ilvl w:val="0"/>
                <w:numId w:val="1"/>
              </w:numPr>
              <w:ind w:left="0" w:firstLine="0" w:firstLineChars="0"/>
              <w:jc w:val="center"/>
              <w:outlineLvl w:val="3"/>
              <w:rPr>
                <w:rFonts w:eastAsia="楷体"/>
                <w:b/>
                <w:sz w:val="28"/>
                <w:szCs w:val="28"/>
              </w:rPr>
            </w:pPr>
            <w:r>
              <w:rPr>
                <w:rFonts w:hint="eastAsia" w:eastAsia="楷体"/>
                <w:b/>
                <w:sz w:val="28"/>
                <w:szCs w:val="28"/>
              </w:rPr>
              <w:t>农业产业重点项目</w:t>
            </w:r>
          </w:p>
          <w:p w14:paraId="1A5FB049">
            <w:pPr>
              <w:spacing w:line="320" w:lineRule="exact"/>
              <w:ind w:firstLine="422"/>
              <w:rPr>
                <w:sz w:val="21"/>
                <w:szCs w:val="21"/>
              </w:rPr>
            </w:pPr>
            <w:r>
              <w:rPr>
                <w:b/>
                <w:sz w:val="21"/>
                <w:szCs w:val="21"/>
              </w:rPr>
              <w:t>1.</w:t>
            </w:r>
            <w:bookmarkStart w:id="214" w:name="OLE_LINK173"/>
            <w:bookmarkStart w:id="215" w:name="OLE_LINK174"/>
            <w:r>
              <w:rPr>
                <w:rFonts w:hint="eastAsia"/>
                <w:b/>
                <w:sz w:val="21"/>
                <w:szCs w:val="21"/>
              </w:rPr>
              <w:t>张强镇官宝农业综合体项目。</w:t>
            </w:r>
            <w:r>
              <w:rPr>
                <w:rFonts w:hint="eastAsia"/>
                <w:sz w:val="21"/>
                <w:szCs w:val="21"/>
              </w:rPr>
              <w:t>依托官宝村</w:t>
            </w:r>
            <w:r>
              <w:rPr>
                <w:sz w:val="21"/>
                <w:szCs w:val="21"/>
              </w:rPr>
              <w:t>4200</w:t>
            </w:r>
            <w:r>
              <w:rPr>
                <w:rFonts w:hint="eastAsia"/>
                <w:sz w:val="21"/>
                <w:szCs w:val="21"/>
              </w:rPr>
              <w:t>亩优质稻田，重点发展稻田画观光、有机稻田订单种植、农事体验、直播销售等，形成“产、学、研、游”为一体的综合性农业项目。</w:t>
            </w:r>
          </w:p>
          <w:p w14:paraId="61C0F3EE">
            <w:pPr>
              <w:spacing w:line="320" w:lineRule="exact"/>
              <w:ind w:firstLine="422"/>
              <w:rPr>
                <w:sz w:val="21"/>
                <w:szCs w:val="21"/>
              </w:rPr>
            </w:pPr>
            <w:r>
              <w:rPr>
                <w:b/>
                <w:sz w:val="21"/>
                <w:szCs w:val="21"/>
              </w:rPr>
              <w:t>2.</w:t>
            </w:r>
            <w:r>
              <w:rPr>
                <w:rFonts w:hint="eastAsia"/>
                <w:b/>
                <w:sz w:val="21"/>
                <w:szCs w:val="21"/>
              </w:rPr>
              <w:t>张强镇西两家子村扁杏深加工项目。</w:t>
            </w:r>
            <w:r>
              <w:rPr>
                <w:rFonts w:hint="eastAsia"/>
                <w:sz w:val="21"/>
                <w:szCs w:val="21"/>
              </w:rPr>
              <w:t>新建杏仁系列产品加工厂，主要生产杏肉脯、杏仁粉、杏仁油等产品。</w:t>
            </w:r>
          </w:p>
          <w:p w14:paraId="1A4F295B">
            <w:pPr>
              <w:spacing w:line="320" w:lineRule="exact"/>
              <w:ind w:firstLine="422"/>
              <w:rPr>
                <w:sz w:val="21"/>
                <w:szCs w:val="21"/>
              </w:rPr>
            </w:pPr>
            <w:r>
              <w:rPr>
                <w:b/>
                <w:sz w:val="21"/>
                <w:szCs w:val="21"/>
              </w:rPr>
              <w:t>3.</w:t>
            </w:r>
            <w:r>
              <w:rPr>
                <w:rFonts w:hint="eastAsia"/>
                <w:b/>
                <w:sz w:val="21"/>
                <w:szCs w:val="21"/>
              </w:rPr>
              <w:t>小城子镇赵家店村种植康养基地项目。</w:t>
            </w:r>
            <w:r>
              <w:rPr>
                <w:rFonts w:hint="eastAsia"/>
                <w:sz w:val="21"/>
                <w:szCs w:val="21"/>
              </w:rPr>
              <w:t>建设内容包括民宿、设施大棚、鱼塘等。</w:t>
            </w:r>
          </w:p>
          <w:p w14:paraId="4AE7EB7D">
            <w:pPr>
              <w:spacing w:line="320" w:lineRule="exact"/>
              <w:ind w:firstLine="422"/>
              <w:rPr>
                <w:sz w:val="21"/>
                <w:szCs w:val="21"/>
              </w:rPr>
            </w:pPr>
            <w:r>
              <w:rPr>
                <w:b/>
                <w:sz w:val="21"/>
                <w:szCs w:val="21"/>
              </w:rPr>
              <w:t>4.</w:t>
            </w:r>
            <w:r>
              <w:rPr>
                <w:rFonts w:hint="eastAsia"/>
                <w:b/>
                <w:sz w:val="21"/>
                <w:szCs w:val="21"/>
              </w:rPr>
              <w:t>郝官屯镇钱家屯村水稻产业项目。</w:t>
            </w:r>
            <w:r>
              <w:rPr>
                <w:rFonts w:hint="eastAsia"/>
                <w:sz w:val="21"/>
                <w:szCs w:val="21"/>
              </w:rPr>
              <w:t>引进先进生产线，发展水稻深加工，打造集稻田观光、农事体验、科普教育为一体的旅游区。</w:t>
            </w:r>
          </w:p>
          <w:p w14:paraId="2A705665">
            <w:pPr>
              <w:spacing w:line="320" w:lineRule="exact"/>
              <w:ind w:firstLine="422"/>
              <w:rPr>
                <w:sz w:val="21"/>
                <w:szCs w:val="21"/>
              </w:rPr>
            </w:pPr>
            <w:r>
              <w:rPr>
                <w:b/>
                <w:sz w:val="21"/>
                <w:szCs w:val="21"/>
              </w:rPr>
              <w:t>5.</w:t>
            </w:r>
            <w:r>
              <w:rPr>
                <w:rFonts w:hint="eastAsia"/>
                <w:b/>
                <w:sz w:val="21"/>
                <w:szCs w:val="21"/>
              </w:rPr>
              <w:t>郝官屯镇旅游观光产业带项目。</w:t>
            </w:r>
            <w:r>
              <w:rPr>
                <w:rFonts w:hint="eastAsia"/>
                <w:sz w:val="21"/>
                <w:szCs w:val="21"/>
              </w:rPr>
              <w:t>串联塔南湿地、辽代古塔、塔北庄园、辽河第一湾、老山头等景观节点，融合采摘、民俗小集、星空露营、民宿餐饮等元素，构建辽河沿线独具特色的郝官品牌。</w:t>
            </w:r>
          </w:p>
          <w:p w14:paraId="15DCBB4F">
            <w:pPr>
              <w:spacing w:line="320" w:lineRule="exact"/>
              <w:ind w:firstLine="422"/>
              <w:rPr>
                <w:bCs/>
                <w:sz w:val="21"/>
                <w:szCs w:val="21"/>
              </w:rPr>
            </w:pPr>
            <w:r>
              <w:rPr>
                <w:b/>
                <w:bCs/>
                <w:sz w:val="21"/>
                <w:szCs w:val="21"/>
              </w:rPr>
              <w:t>6.</w:t>
            </w:r>
            <w:r>
              <w:rPr>
                <w:rFonts w:hint="eastAsia"/>
                <w:b/>
                <w:bCs/>
                <w:sz w:val="21"/>
                <w:szCs w:val="21"/>
              </w:rPr>
              <w:t>郝官屯镇牲畜交易市场二期项目</w:t>
            </w:r>
            <w:r>
              <w:rPr>
                <w:b/>
                <w:bCs/>
                <w:sz w:val="21"/>
                <w:szCs w:val="21"/>
              </w:rPr>
              <w:t>。</w:t>
            </w:r>
            <w:r>
              <w:rPr>
                <w:rFonts w:hint="eastAsia"/>
                <w:bCs/>
                <w:sz w:val="21"/>
                <w:szCs w:val="21"/>
              </w:rPr>
              <w:t>建设牲畜交易棚、饲养圈舍及附属配套设施。</w:t>
            </w:r>
            <w:bookmarkEnd w:id="214"/>
            <w:bookmarkEnd w:id="215"/>
          </w:p>
          <w:p w14:paraId="062F47D7">
            <w:pPr>
              <w:spacing w:line="320" w:lineRule="exact"/>
              <w:ind w:firstLine="422"/>
              <w:rPr>
                <w:bCs/>
                <w:sz w:val="21"/>
                <w:szCs w:val="21"/>
              </w:rPr>
            </w:pPr>
            <w:r>
              <w:rPr>
                <w:b/>
                <w:bCs/>
                <w:sz w:val="21"/>
                <w:szCs w:val="21"/>
              </w:rPr>
              <w:t>7.</w:t>
            </w:r>
            <w:r>
              <w:rPr>
                <w:rFonts w:hint="eastAsia"/>
                <w:b/>
                <w:bCs/>
                <w:sz w:val="21"/>
                <w:szCs w:val="21"/>
              </w:rPr>
              <w:t>小城子镇富裕肉鸭养殖小区屋顶分布式光伏项目。</w:t>
            </w:r>
            <w:r>
              <w:rPr>
                <w:rFonts w:hint="eastAsia"/>
                <w:bCs/>
                <w:sz w:val="21"/>
                <w:szCs w:val="21"/>
              </w:rPr>
              <w:t>利用鸭棚屋顶建设分布式光伏。</w:t>
            </w:r>
          </w:p>
          <w:p w14:paraId="766A750E">
            <w:pPr>
              <w:spacing w:line="320" w:lineRule="exact"/>
              <w:ind w:firstLine="422"/>
              <w:rPr>
                <w:bCs/>
                <w:sz w:val="21"/>
                <w:szCs w:val="21"/>
              </w:rPr>
            </w:pPr>
            <w:r>
              <w:rPr>
                <w:b/>
                <w:bCs/>
                <w:sz w:val="21"/>
                <w:szCs w:val="21"/>
              </w:rPr>
              <w:t>8.</w:t>
            </w:r>
            <w:bookmarkStart w:id="216" w:name="OLE_LINK160"/>
            <w:bookmarkStart w:id="217" w:name="OLE_LINK152"/>
            <w:r>
              <w:rPr>
                <w:rFonts w:hint="eastAsia"/>
                <w:b/>
                <w:bCs/>
                <w:sz w:val="21"/>
                <w:szCs w:val="21"/>
              </w:rPr>
              <w:t>西关屯乡日光温室大棚项目</w:t>
            </w:r>
            <w:bookmarkEnd w:id="216"/>
            <w:bookmarkEnd w:id="217"/>
            <w:r>
              <w:rPr>
                <w:rFonts w:hint="eastAsia"/>
                <w:b/>
                <w:bCs/>
                <w:sz w:val="21"/>
                <w:szCs w:val="21"/>
              </w:rPr>
              <w:t>。</w:t>
            </w:r>
            <w:r>
              <w:rPr>
                <w:rFonts w:hint="eastAsia"/>
                <w:bCs/>
                <w:sz w:val="21"/>
                <w:szCs w:val="21"/>
              </w:rPr>
              <w:t>罗家屯村、姜家沟村建设日光温室大棚。</w:t>
            </w:r>
          </w:p>
          <w:p w14:paraId="03E9DA02">
            <w:pPr>
              <w:spacing w:line="320" w:lineRule="exact"/>
              <w:ind w:firstLine="422"/>
              <w:rPr>
                <w:sz w:val="21"/>
                <w:szCs w:val="21"/>
              </w:rPr>
            </w:pPr>
            <w:r>
              <w:rPr>
                <w:rFonts w:hint="eastAsia"/>
                <w:b/>
                <w:sz w:val="21"/>
                <w:szCs w:val="21"/>
              </w:rPr>
              <w:t>9.商品肉鸭规模养殖及加工项目。</w:t>
            </w:r>
            <w:r>
              <w:rPr>
                <w:rFonts w:hint="eastAsia"/>
                <w:sz w:val="21"/>
                <w:szCs w:val="21"/>
              </w:rPr>
              <w:t>在海洲乡、三台子畜牧场等地建设标准化商品肉鸭养殖棚舍等设施。</w:t>
            </w:r>
          </w:p>
          <w:p w14:paraId="7A1F6981">
            <w:pPr>
              <w:spacing w:line="320" w:lineRule="exact"/>
              <w:ind w:firstLine="422"/>
              <w:rPr>
                <w:sz w:val="21"/>
                <w:szCs w:val="21"/>
              </w:rPr>
            </w:pPr>
            <w:r>
              <w:rPr>
                <w:rFonts w:hint="eastAsia"/>
                <w:b/>
                <w:sz w:val="21"/>
                <w:szCs w:val="21"/>
              </w:rPr>
              <w:t>10</w:t>
            </w:r>
            <w:r>
              <w:rPr>
                <w:b/>
                <w:sz w:val="21"/>
                <w:szCs w:val="21"/>
              </w:rPr>
              <w:t>.</w:t>
            </w:r>
            <w:r>
              <w:rPr>
                <w:rFonts w:hint="eastAsia"/>
                <w:b/>
                <w:sz w:val="21"/>
                <w:szCs w:val="21"/>
              </w:rPr>
              <w:t>农副产品精加工及仓储项目。</w:t>
            </w:r>
            <w:r>
              <w:rPr>
                <w:rFonts w:hint="eastAsia"/>
                <w:sz w:val="21"/>
                <w:szCs w:val="21"/>
              </w:rPr>
              <w:t>建设农副产品精加工车间及仓储库，配套地瓜、杂粮等农副产品精深加工生产线。</w:t>
            </w:r>
          </w:p>
        </w:tc>
      </w:tr>
      <w:bookmarkEnd w:id="198"/>
      <w:bookmarkEnd w:id="199"/>
    </w:tbl>
    <w:p w14:paraId="4B3B578D">
      <w:pPr>
        <w:pStyle w:val="3"/>
        <w:spacing w:before="217" w:after="217"/>
      </w:pPr>
      <w:bookmarkStart w:id="218" w:name="_Toc237336664"/>
      <w:r>
        <w:rPr>
          <w:rFonts w:hint="eastAsia"/>
        </w:rPr>
        <w:t>第三节</w:t>
      </w:r>
      <w:r>
        <w:t xml:space="preserve"> </w:t>
      </w:r>
      <w:r>
        <w:rPr>
          <w:rFonts w:hint="eastAsia"/>
        </w:rPr>
        <w:t>建设宜居宜业和美乡村</w:t>
      </w:r>
      <w:bookmarkEnd w:id="218"/>
    </w:p>
    <w:p w14:paraId="43EB090B">
      <w:pPr>
        <w:autoSpaceDE w:val="0"/>
        <w:ind w:firstLine="643"/>
      </w:pPr>
      <w:r>
        <w:rPr>
          <w:rFonts w:cs="楷体"/>
          <w:b/>
          <w:bCs/>
          <w:szCs w:val="32"/>
        </w:rPr>
        <w:t>提档升级农村基础设施。</w:t>
      </w:r>
      <w:r>
        <w:rPr>
          <w:rFonts w:hint="eastAsia"/>
        </w:rPr>
        <w:t>持续推进城乡交通一体化发展，实施县域路网提级、公路服务能力提升等工程，农村公路新建及维修改造总里程达800公里，争创“四好农村路”全国示范县。因地制宜推进规模化集中供水，规模化供水率达到</w:t>
      </w:r>
      <w:r>
        <w:t>50%</w:t>
      </w:r>
      <w:r>
        <w:rPr>
          <w:rFonts w:hint="eastAsia"/>
        </w:rPr>
        <w:t>以上。实施智慧广电工程，实现农村地区</w:t>
      </w:r>
      <w:r>
        <w:t>5G</w:t>
      </w:r>
      <w:r>
        <w:rPr>
          <w:rFonts w:hint="eastAsia"/>
        </w:rPr>
        <w:t>网络按需覆盖。</w:t>
      </w:r>
    </w:p>
    <w:p w14:paraId="63BCA6E3">
      <w:pPr>
        <w:ind w:firstLine="643"/>
        <w:rPr>
          <w:rFonts w:cs="楷体"/>
          <w:bCs/>
          <w:szCs w:val="32"/>
        </w:rPr>
      </w:pPr>
      <w:r>
        <w:rPr>
          <w:rFonts w:cs="楷体"/>
          <w:b/>
          <w:bCs/>
          <w:szCs w:val="32"/>
        </w:rPr>
        <w:t>持续优化农村人居环境。</w:t>
      </w:r>
      <w:r>
        <w:rPr>
          <w:rFonts w:hint="eastAsia" w:cs="楷体"/>
          <w:bCs/>
          <w:szCs w:val="32"/>
        </w:rPr>
        <w:t>深入开展乡村绿化美化行动，稳步增加村庄绿量，形成优美和谐的乡村自然生态景观。</w:t>
      </w:r>
      <w:r>
        <w:rPr>
          <w:rFonts w:cs="楷体"/>
          <w:bCs/>
          <w:szCs w:val="32"/>
        </w:rPr>
        <w:t>巩固提升厕改成果，</w:t>
      </w:r>
      <w:r>
        <w:rPr>
          <w:rFonts w:hint="eastAsia" w:cs="楷体"/>
          <w:bCs/>
          <w:szCs w:val="32"/>
        </w:rPr>
        <w:t>做好已建户厕常态化运维，</w:t>
      </w:r>
      <w:r>
        <w:rPr>
          <w:rFonts w:cs="楷体"/>
          <w:bCs/>
          <w:szCs w:val="32"/>
        </w:rPr>
        <w:t>确保农村户厕能用、好用、长期用。</w:t>
      </w:r>
      <w:r>
        <w:rPr>
          <w:rFonts w:hint="eastAsia"/>
        </w:rPr>
        <w:t>因地制宜推进农村生活污水治理，实现“一村一策”精准施策，</w:t>
      </w:r>
      <w:r>
        <w:rPr>
          <w:rFonts w:cs="楷体"/>
          <w:bCs/>
          <w:szCs w:val="32"/>
        </w:rPr>
        <w:t>持续排查治理农村黑臭水体，确保动态清零。补齐农村垃圾分类、收运和处置短板，实现农业生产和生活垃圾协同焚烧处理，建设农村再生资源回收利用网点。持续推进农村危房改造，全面消除农村危房安全隐患。到2030年，打造环卧龙湖、沿辽河等2条省级乡村振兴示范带，打造5个</w:t>
      </w:r>
      <w:r>
        <w:rPr>
          <w:rFonts w:hint="eastAsia" w:cs="楷体"/>
          <w:bCs/>
          <w:szCs w:val="32"/>
        </w:rPr>
        <w:t>中国美丽休闲乡村</w:t>
      </w:r>
      <w:r>
        <w:rPr>
          <w:rFonts w:cs="楷体"/>
          <w:bCs/>
          <w:szCs w:val="32"/>
        </w:rPr>
        <w:t>。</w:t>
      </w:r>
    </w:p>
    <w:p w14:paraId="1605220F">
      <w:pPr>
        <w:ind w:firstLine="643"/>
        <w:rPr>
          <w:rFonts w:cs="楷体"/>
          <w:bCs/>
          <w:szCs w:val="32"/>
        </w:rPr>
      </w:pPr>
      <w:r>
        <w:rPr>
          <w:rFonts w:hint="eastAsia" w:cs="楷体"/>
          <w:b/>
          <w:bCs/>
          <w:szCs w:val="32"/>
        </w:rPr>
        <w:t>全面提升乡村治理效能。</w:t>
      </w:r>
      <w:r>
        <w:rPr>
          <w:rFonts w:hint="eastAsia" w:cs="楷体"/>
          <w:bCs/>
          <w:szCs w:val="32"/>
        </w:rPr>
        <w:t>强化县级统筹，推动乡镇、街道扩权赋能，完善村级组织体系，健全以村党组织为核心的村级组织配套建设，严格执行“四议两公开”制度。构建农村基层治理网格化全域覆盖工作体系，推进16家重点单位567个专属网格“多格合一”信息融合联通，实施“乡风焕新”计划，健全农村社会矛盾纠纷多元化解机制。</w:t>
      </w:r>
    </w:p>
    <w:p w14:paraId="44A4177D">
      <w:pPr>
        <w:ind w:firstLine="643"/>
        <w:rPr>
          <w:rFonts w:cs="楷体"/>
          <w:bCs/>
          <w:szCs w:val="32"/>
        </w:rPr>
      </w:pPr>
      <w:bookmarkStart w:id="219" w:name="OLE_LINK3"/>
      <w:bookmarkStart w:id="220" w:name="OLE_LINK5"/>
      <w:r>
        <w:rPr>
          <w:rFonts w:hint="eastAsia" w:cs="楷体"/>
          <w:b/>
          <w:bCs/>
          <w:szCs w:val="32"/>
        </w:rPr>
        <w:t>持续巩固拓展脱贫攻坚成果。</w:t>
      </w:r>
      <w:r>
        <w:rPr>
          <w:rFonts w:hint="eastAsia" w:cs="楷体"/>
          <w:bCs/>
          <w:szCs w:val="32"/>
        </w:rPr>
        <w:t>统筹建立常态化防止返贫致贫机制，完善兜底保障，守住不发生规模性返贫底线。提升帮扶产业高质量发展，保证每个帮扶项目收益率达到3%以上，收益资金60%用于成果巩固。巩固“两不愁三保障”成果，完善教育、医疗、住房、饮水等民生保障体系，持续开展“雨露计划+就业”促进行动，每年脱贫人口就业人数不低于2260人。将联农、带农、富农产业作为财政衔接资金优先支持内容，当年资金60%以上用于产业项目，不断壮大县域富民产业。</w:t>
      </w:r>
    </w:p>
    <w:bookmarkEnd w:id="219"/>
    <w:bookmarkEnd w:id="220"/>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7830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578D8785">
            <w:pPr>
              <w:pStyle w:val="25"/>
              <w:numPr>
                <w:ilvl w:val="0"/>
                <w:numId w:val="1"/>
              </w:numPr>
              <w:ind w:firstLineChars="0"/>
              <w:jc w:val="center"/>
              <w:outlineLvl w:val="3"/>
              <w:rPr>
                <w:rFonts w:eastAsia="楷体"/>
                <w:b/>
                <w:sz w:val="28"/>
                <w:szCs w:val="28"/>
              </w:rPr>
            </w:pPr>
            <w:r>
              <w:rPr>
                <w:rFonts w:hint="eastAsia" w:eastAsia="楷体"/>
                <w:b/>
                <w:sz w:val="28"/>
                <w:szCs w:val="28"/>
              </w:rPr>
              <w:t>宜居宜业和美乡村建设重点项目</w:t>
            </w:r>
          </w:p>
          <w:p w14:paraId="157BEE86">
            <w:pPr>
              <w:spacing w:line="320" w:lineRule="exact"/>
              <w:ind w:firstLine="422"/>
              <w:rPr>
                <w:sz w:val="21"/>
                <w:szCs w:val="21"/>
              </w:rPr>
            </w:pPr>
            <w:r>
              <w:rPr>
                <w:b/>
                <w:sz w:val="21"/>
                <w:szCs w:val="21"/>
              </w:rPr>
              <w:t>1.</w:t>
            </w:r>
            <w:r>
              <w:rPr>
                <w:rFonts w:hint="eastAsia"/>
                <w:b/>
                <w:sz w:val="21"/>
                <w:szCs w:val="21"/>
              </w:rPr>
              <w:t>康平县路网提级改造工程项目。</w:t>
            </w:r>
            <w:r>
              <w:rPr>
                <w:rFonts w:hint="eastAsia"/>
                <w:sz w:val="21"/>
                <w:szCs w:val="21"/>
              </w:rPr>
              <w:t>实现县级公路提级省级公路一条、乡级公路提级县级公路三条。</w:t>
            </w:r>
          </w:p>
          <w:p w14:paraId="5A01EA35">
            <w:pPr>
              <w:spacing w:line="320" w:lineRule="exact"/>
              <w:ind w:firstLine="422"/>
              <w:rPr>
                <w:sz w:val="21"/>
                <w:szCs w:val="21"/>
              </w:rPr>
            </w:pPr>
            <w:r>
              <w:rPr>
                <w:b/>
                <w:sz w:val="21"/>
                <w:szCs w:val="21"/>
              </w:rPr>
              <w:t>2.</w:t>
            </w:r>
            <w:r>
              <w:rPr>
                <w:rFonts w:hint="eastAsia"/>
                <w:b/>
                <w:sz w:val="21"/>
                <w:szCs w:val="21"/>
              </w:rPr>
              <w:t>农村公路新建及维修改造项目。</w:t>
            </w:r>
            <w:r>
              <w:rPr>
                <w:rFonts w:hint="eastAsia"/>
                <w:sz w:val="21"/>
                <w:szCs w:val="21"/>
              </w:rPr>
              <w:t>包括道路建设、危桥改造、处置钢护栏等。</w:t>
            </w:r>
          </w:p>
          <w:p w14:paraId="4E8A0FD4">
            <w:pPr>
              <w:spacing w:line="320" w:lineRule="exact"/>
              <w:ind w:firstLine="422"/>
              <w:rPr>
                <w:sz w:val="21"/>
                <w:szCs w:val="21"/>
              </w:rPr>
            </w:pPr>
            <w:r>
              <w:rPr>
                <w:b/>
                <w:sz w:val="21"/>
                <w:szCs w:val="21"/>
              </w:rPr>
              <w:t>3.</w:t>
            </w:r>
            <w:r>
              <w:rPr>
                <w:rFonts w:hint="eastAsia"/>
                <w:b/>
                <w:sz w:val="21"/>
                <w:szCs w:val="21"/>
              </w:rPr>
              <w:t>公路服务能力提升基础设施建设项目。</w:t>
            </w:r>
            <w:r>
              <w:rPr>
                <w:rFonts w:hint="eastAsia"/>
                <w:sz w:val="21"/>
                <w:szCs w:val="21"/>
              </w:rPr>
              <w:t>建设综合服务区，含餐饮、休息、便利店、快充桩、汽修厂、车位；东关街道李家村闲置房屋改造为农村公路养护站。</w:t>
            </w:r>
          </w:p>
          <w:p w14:paraId="6B25D34B">
            <w:pPr>
              <w:spacing w:line="320" w:lineRule="exact"/>
              <w:ind w:firstLine="422"/>
              <w:rPr>
                <w:sz w:val="21"/>
                <w:szCs w:val="21"/>
              </w:rPr>
            </w:pPr>
            <w:r>
              <w:rPr>
                <w:rFonts w:hint="eastAsia"/>
                <w:b/>
                <w:sz w:val="21"/>
                <w:szCs w:val="21"/>
              </w:rPr>
              <w:t>4</w:t>
            </w:r>
            <w:r>
              <w:rPr>
                <w:b/>
                <w:sz w:val="21"/>
                <w:szCs w:val="21"/>
              </w:rPr>
              <w:t>.</w:t>
            </w:r>
            <w:r>
              <w:rPr>
                <w:rFonts w:hint="eastAsia"/>
                <w:b/>
                <w:sz w:val="21"/>
                <w:szCs w:val="21"/>
              </w:rPr>
              <w:t>国家级“四好农村路”示范县争创项目</w:t>
            </w:r>
            <w:r>
              <w:rPr>
                <w:rFonts w:hint="eastAsia"/>
                <w:sz w:val="21"/>
                <w:szCs w:val="21"/>
              </w:rPr>
              <w:t>。通过搭建“四好农村路”信息化平台，完成手机APP用户端、管理人员专用的APP管理端、办公电脑的PC后台端和数据信息大屏终端四大终端的建设，开展示范创建与数字化治理，完成争创工作。</w:t>
            </w:r>
          </w:p>
          <w:p w14:paraId="24C32B23">
            <w:pPr>
              <w:spacing w:line="320" w:lineRule="exact"/>
              <w:ind w:firstLine="422"/>
              <w:rPr>
                <w:sz w:val="21"/>
                <w:szCs w:val="21"/>
              </w:rPr>
            </w:pPr>
            <w:r>
              <w:rPr>
                <w:rFonts w:hint="eastAsia"/>
                <w:b/>
                <w:sz w:val="21"/>
                <w:szCs w:val="21"/>
              </w:rPr>
              <w:t>5</w:t>
            </w:r>
            <w:r>
              <w:rPr>
                <w:b/>
                <w:sz w:val="21"/>
                <w:szCs w:val="21"/>
              </w:rPr>
              <w:t>.</w:t>
            </w:r>
            <w:r>
              <w:rPr>
                <w:rFonts w:hint="eastAsia"/>
                <w:b/>
                <w:sz w:val="21"/>
                <w:szCs w:val="21"/>
              </w:rPr>
              <w:t>城乡供水一体化工程（一期）及老旧供水更新改造工程项目。</w:t>
            </w:r>
            <w:r>
              <w:rPr>
                <w:rFonts w:hint="eastAsia"/>
                <w:sz w:val="21"/>
                <w:szCs w:val="21"/>
              </w:rPr>
              <w:t>新建净水厂、铺设输配水管网、二次加压泵站、智慧水务等。</w:t>
            </w:r>
          </w:p>
          <w:p w14:paraId="0DED982B">
            <w:pPr>
              <w:spacing w:line="320" w:lineRule="exact"/>
              <w:ind w:firstLine="422"/>
              <w:rPr>
                <w:sz w:val="21"/>
                <w:szCs w:val="21"/>
              </w:rPr>
            </w:pPr>
            <w:r>
              <w:rPr>
                <w:rFonts w:hint="eastAsia"/>
                <w:b/>
                <w:sz w:val="21"/>
                <w:szCs w:val="21"/>
              </w:rPr>
              <w:t>6</w:t>
            </w:r>
            <w:r>
              <w:rPr>
                <w:b/>
                <w:sz w:val="21"/>
                <w:szCs w:val="21"/>
              </w:rPr>
              <w:t>.</w:t>
            </w:r>
            <w:r>
              <w:rPr>
                <w:rFonts w:hint="eastAsia"/>
                <w:b/>
                <w:sz w:val="21"/>
                <w:szCs w:val="21"/>
              </w:rPr>
              <w:t>康平县农村规模化供水项目。</w:t>
            </w:r>
            <w:r>
              <w:rPr>
                <w:rFonts w:hint="eastAsia"/>
                <w:sz w:val="21"/>
                <w:szCs w:val="21"/>
              </w:rPr>
              <w:t>逐步实施张强、柳树、沙金、东升、郝官、方家规模化供水工程。</w:t>
            </w:r>
          </w:p>
          <w:p w14:paraId="212245EC">
            <w:pPr>
              <w:spacing w:line="320" w:lineRule="exact"/>
              <w:ind w:firstLine="422"/>
              <w:rPr>
                <w:sz w:val="21"/>
                <w:szCs w:val="21"/>
              </w:rPr>
            </w:pPr>
            <w:r>
              <w:rPr>
                <w:rFonts w:hint="eastAsia"/>
                <w:b/>
                <w:sz w:val="21"/>
                <w:szCs w:val="21"/>
              </w:rPr>
              <w:t>7</w:t>
            </w:r>
            <w:r>
              <w:rPr>
                <w:b/>
                <w:sz w:val="21"/>
                <w:szCs w:val="21"/>
              </w:rPr>
              <w:t>.</w:t>
            </w:r>
            <w:r>
              <w:rPr>
                <w:rFonts w:hint="eastAsia"/>
                <w:b/>
                <w:sz w:val="21"/>
                <w:szCs w:val="21"/>
              </w:rPr>
              <w:t>水库移民美丽家园建设项目。</w:t>
            </w:r>
            <w:r>
              <w:rPr>
                <w:rFonts w:hint="eastAsia"/>
                <w:sz w:val="21"/>
                <w:szCs w:val="21"/>
              </w:rPr>
              <w:t>主要建设内容为村屯房前屋后排水、村屯美化亮化及文化广场项目。</w:t>
            </w:r>
          </w:p>
        </w:tc>
      </w:tr>
    </w:tbl>
    <w:p w14:paraId="6B8A89D8">
      <w:pPr>
        <w:pStyle w:val="3"/>
        <w:spacing w:before="217" w:after="217"/>
      </w:pPr>
      <w:bookmarkStart w:id="221" w:name="_Toc237336665"/>
      <w:r>
        <w:rPr>
          <w:rFonts w:hint="eastAsia"/>
        </w:rPr>
        <w:t>第四节</w:t>
      </w:r>
      <w:r>
        <w:t xml:space="preserve"> </w:t>
      </w:r>
      <w:r>
        <w:rPr>
          <w:rFonts w:hint="eastAsia"/>
        </w:rPr>
        <w:t>深化农村综合改革</w:t>
      </w:r>
      <w:bookmarkEnd w:id="221"/>
    </w:p>
    <w:p w14:paraId="37F4B619">
      <w:pPr>
        <w:ind w:firstLine="643"/>
      </w:pPr>
      <w:bookmarkStart w:id="222" w:name="OLE_LINK22"/>
      <w:bookmarkStart w:id="223" w:name="OLE_LINK23"/>
      <w:r>
        <w:rPr>
          <w:rFonts w:hint="eastAsia"/>
          <w:b/>
        </w:rPr>
        <w:t>推进土地制度改革。</w:t>
      </w:r>
      <w:r>
        <w:rPr>
          <w:rFonts w:hint="eastAsia"/>
        </w:rPr>
        <w:t>有序推进农村集体经营性建设用地入市改革，以农村产权交易中心为平台，加快推动土地等农村资源要素市场化改革，提升农村产权流转交易规范化水平。开展农村闲置宅基地、农业生产与村庄建设复合用地、村庄空闲地等土地综合整治。依法收回集体“整户消亡地”“双份地”等土地资源，及时有效化解人地矛盾。</w:t>
      </w:r>
    </w:p>
    <w:p w14:paraId="3E7A8D85">
      <w:pPr>
        <w:ind w:firstLine="643"/>
      </w:pPr>
      <w:r>
        <w:rPr>
          <w:rFonts w:hint="eastAsia"/>
          <w:b/>
        </w:rPr>
        <w:t>巩固农村基本经营制度。</w:t>
      </w:r>
      <w:bookmarkEnd w:id="222"/>
      <w:bookmarkEnd w:id="223"/>
      <w:r>
        <w:rPr>
          <w:rFonts w:hint="eastAsia"/>
        </w:rPr>
        <w:t>完成第二轮土地承包到期后再延长</w:t>
      </w:r>
      <w:r>
        <w:t>30</w:t>
      </w:r>
      <w:r>
        <w:rPr>
          <w:rFonts w:hint="eastAsia"/>
        </w:rPr>
        <w:t>年延包工作，深化承包地所有权、承包权、经营权“三权”分置改革。推动农村集体经济组织符合条件的资产资源全面进场交易，确保“应进必进”。支持村党组织领办、创办或入股经营合作社，盘活闲置资产，推动集体经济产业提质增效。到</w:t>
      </w:r>
      <w:r>
        <w:t>2030</w:t>
      </w:r>
      <w:r>
        <w:rPr>
          <w:rFonts w:hint="eastAsia"/>
        </w:rPr>
        <w:t>年，全县村集体经济组织年经营收益收入</w:t>
      </w:r>
      <w:r>
        <w:t>20</w:t>
      </w:r>
      <w:r>
        <w:rPr>
          <w:rFonts w:hint="eastAsia"/>
        </w:rPr>
        <w:t>万元以上的占比超过</w:t>
      </w:r>
      <w:r>
        <w:t>70%</w:t>
      </w:r>
      <w:r>
        <w:rPr>
          <w:rFonts w:hint="eastAsia"/>
        </w:rPr>
        <w:t>。</w:t>
      </w:r>
    </w:p>
    <w:p w14:paraId="21456559">
      <w:pPr>
        <w:ind w:firstLine="643"/>
        <w:rPr>
          <w:b/>
        </w:rPr>
      </w:pPr>
      <w:r>
        <w:rPr>
          <w:rFonts w:hint="eastAsia"/>
          <w:b/>
        </w:rPr>
        <w:t>壮大新型农业经营主体。</w:t>
      </w:r>
      <w:r>
        <w:rPr>
          <w:rFonts w:hint="eastAsia"/>
        </w:rPr>
        <w:t>做强专业合作社，鼓励组建联合社实现规模经营。支持家庭农场适度规模经营，推广先进技术装备应用，提升生产经营水平。加大新型农业经营主体培育与政策扶持力度，推广“经营主体+村集体+农户”的股权联结模式以及“保底收入+分红收入”利益分配机制。</w:t>
      </w:r>
      <w:r>
        <w:rPr>
          <w:rFonts w:hint="eastAsia" w:cs="仿宋_GB2312"/>
          <w:szCs w:val="32"/>
        </w:rPr>
        <w:t>加快新型农业经营主体辅导员、领办人培育，提高辅导员对新型农业经营主体精准服务能力。</w:t>
      </w:r>
      <w:r>
        <w:rPr>
          <w:rFonts w:hint="eastAsia"/>
        </w:rPr>
        <w:t>到2030年，培育新型农业经营主体30家以上，辐射带动农户比例达到75%以上。</w:t>
      </w:r>
    </w:p>
    <w:p w14:paraId="3F9BDCBB">
      <w:pPr>
        <w:pStyle w:val="3"/>
        <w:spacing w:before="217" w:after="217"/>
      </w:pPr>
      <w:bookmarkStart w:id="224" w:name="_Toc237336666"/>
      <w:r>
        <w:rPr>
          <w:rFonts w:hint="eastAsia"/>
        </w:rPr>
        <w:t>第五节</w:t>
      </w:r>
      <w:r>
        <w:t xml:space="preserve"> </w:t>
      </w:r>
      <w:r>
        <w:rPr>
          <w:rFonts w:hint="eastAsia"/>
        </w:rPr>
        <w:t>推进新型城镇化建设</w:t>
      </w:r>
      <w:bookmarkEnd w:id="224"/>
    </w:p>
    <w:p w14:paraId="608C62F5">
      <w:pPr>
        <w:ind w:firstLine="643"/>
        <w:rPr>
          <w:b/>
        </w:rPr>
      </w:pPr>
      <w:r>
        <w:rPr>
          <w:rFonts w:hint="eastAsia"/>
          <w:b/>
        </w:rPr>
        <w:t>深化户籍制度改革。</w:t>
      </w:r>
      <w:r>
        <w:rPr>
          <w:rFonts w:hint="eastAsia"/>
        </w:rPr>
        <w:t>逐步放宽落户限制，实行以经常居住地登记户口制度，促进在城镇稳定就业和生活的农业转移人口进城落户。不断提高服务水平，营造“服务最优、效率最高、程序最简、时间最短”的落户服务环境。落实户政业务“跨省通办”，不断提升服务便利度。到2</w:t>
      </w:r>
      <w:r>
        <w:t>030</w:t>
      </w:r>
      <w:r>
        <w:rPr>
          <w:rFonts w:hint="eastAsia"/>
        </w:rPr>
        <w:t>年，常住人口城镇化率达到4</w:t>
      </w:r>
      <w:r>
        <w:t>5%</w:t>
      </w:r>
      <w:r>
        <w:rPr>
          <w:rFonts w:hint="eastAsia"/>
        </w:rPr>
        <w:t>左右。</w:t>
      </w:r>
    </w:p>
    <w:p w14:paraId="2071F68D">
      <w:pPr>
        <w:ind w:firstLine="643"/>
      </w:pPr>
      <w:r>
        <w:rPr>
          <w:rFonts w:hint="eastAsia"/>
          <w:b/>
        </w:rPr>
        <w:t>提高农业转移人口市民化质量。</w:t>
      </w:r>
      <w:r>
        <w:rPr>
          <w:rFonts w:hint="eastAsia"/>
        </w:rPr>
        <w:t>建立健全基本公共服务同常住人口挂钩、由常住地供给的机制，稳步提高非户籍常住人口在流入地享有基本公共服务项目的数量和水平。落实上级基本公共服务标准，按照常住人口规模和服务半径统筹基本公共服务设施布局。促进符合条件的农业转移人口在就业、教育、医疗、居住、社会保障等方面与城镇居民享有同等权利、履行同等义务。</w:t>
      </w:r>
    </w:p>
    <w:p w14:paraId="49DE1910">
      <w:pPr>
        <w:ind w:firstLine="643"/>
      </w:pPr>
      <w:r>
        <w:rPr>
          <w:rFonts w:hint="eastAsia"/>
          <w:b/>
        </w:rPr>
        <w:t>增强乡镇公共服务承载能力。</w:t>
      </w:r>
      <w:r>
        <w:rPr>
          <w:rFonts w:hint="eastAsia"/>
        </w:rPr>
        <w:t>稳步推进生源不足小规模学校整合和区域中心学校建设。深化紧密型县域医共体建设，提升乡镇、街道医院综合能力</w:t>
      </w:r>
      <w:r>
        <w:rPr>
          <w:rFonts w:cs="楷体"/>
          <w:bCs/>
          <w:szCs w:val="32"/>
        </w:rPr>
        <w:t>，建强村卫生室，强化基本医保、大病保险、医疗救助制度保障</w:t>
      </w:r>
      <w:r>
        <w:rPr>
          <w:rFonts w:hint="eastAsia"/>
        </w:rPr>
        <w:t>。补齐农村养老服务短板，推进公共设施适老化改造。鼓励党支部领办企业、党支部引领老年协会等方式开展农村互助养老，实现农村地区全覆盖。</w:t>
      </w:r>
    </w:p>
    <w:p w14:paraId="3F91A9F9">
      <w:pPr>
        <w:pStyle w:val="3"/>
        <w:spacing w:before="217" w:after="217"/>
      </w:pPr>
      <w:bookmarkStart w:id="225" w:name="_Toc237336667"/>
      <w:r>
        <w:rPr>
          <w:rFonts w:hint="eastAsia"/>
        </w:rPr>
        <w:t>第六节 优化乡镇产业布局</w:t>
      </w:r>
      <w:bookmarkEnd w:id="225"/>
    </w:p>
    <w:p w14:paraId="6D83AA3C">
      <w:pPr>
        <w:spacing w:line="579" w:lineRule="exact"/>
        <w:ind w:firstLine="643"/>
        <w:rPr>
          <w:rFonts w:cs="仿宋_GB2312"/>
          <w:szCs w:val="32"/>
        </w:rPr>
      </w:pPr>
      <w:r>
        <w:rPr>
          <w:rFonts w:cs="仿宋_GB2312"/>
          <w:b/>
          <w:szCs w:val="32"/>
        </w:rPr>
        <w:t>明确重点</w:t>
      </w:r>
      <w:r>
        <w:rPr>
          <w:rFonts w:hint="eastAsia" w:cs="仿宋_GB2312"/>
          <w:b/>
          <w:szCs w:val="32"/>
        </w:rPr>
        <w:t>乡</w:t>
      </w:r>
      <w:r>
        <w:rPr>
          <w:rFonts w:cs="仿宋_GB2312"/>
          <w:b/>
          <w:szCs w:val="32"/>
        </w:rPr>
        <w:t>镇产业发展</w:t>
      </w:r>
      <w:r>
        <w:rPr>
          <w:rFonts w:hint="eastAsia" w:cs="仿宋_GB2312"/>
          <w:b/>
          <w:szCs w:val="32"/>
        </w:rPr>
        <w:t>方向</w:t>
      </w:r>
      <w:r>
        <w:rPr>
          <w:rFonts w:cs="仿宋_GB2312"/>
          <w:b/>
          <w:szCs w:val="32"/>
        </w:rPr>
        <w:t>。</w:t>
      </w:r>
      <w:r>
        <w:rPr>
          <w:rFonts w:hint="eastAsia" w:cs="仿宋_GB2312"/>
          <w:szCs w:val="32"/>
        </w:rPr>
        <w:t>增强</w:t>
      </w:r>
      <w:r>
        <w:rPr>
          <w:rFonts w:cs="仿宋_GB2312"/>
          <w:szCs w:val="32"/>
        </w:rPr>
        <w:t>张强镇</w:t>
      </w:r>
      <w:r>
        <w:rPr>
          <w:rFonts w:hint="eastAsia" w:cs="仿宋_GB2312"/>
          <w:szCs w:val="32"/>
        </w:rPr>
        <w:t>、</w:t>
      </w:r>
      <w:r>
        <w:rPr>
          <w:rFonts w:cs="仿宋_GB2312"/>
          <w:szCs w:val="32"/>
        </w:rPr>
        <w:t>小城子镇</w:t>
      </w:r>
      <w:r>
        <w:rPr>
          <w:rFonts w:hint="eastAsia" w:cs="仿宋_GB2312"/>
          <w:szCs w:val="32"/>
        </w:rPr>
        <w:t>、郝官屯镇、西关屯乡辐射带动作用，</w:t>
      </w:r>
      <w:r>
        <w:rPr>
          <w:rFonts w:cs="仿宋_GB2312"/>
          <w:szCs w:val="32"/>
        </w:rPr>
        <w:t>张强镇以壮大能源工业产业、做优特色农业品牌、构建生态宜居幸福家园为切入点，推动一二三产业融合发展，打造康平县域副中心、能源工贸新市镇。小城子镇以商贸旅游、农产品加工为主导产业，发展现代农业，打造商贸主导型重镇。</w:t>
      </w:r>
      <w:bookmarkStart w:id="226" w:name="OLE_LINK91"/>
      <w:bookmarkStart w:id="227" w:name="OLE_LINK80"/>
      <w:r>
        <w:rPr>
          <w:rFonts w:cs="仿宋_GB2312"/>
          <w:szCs w:val="32"/>
        </w:rPr>
        <w:t>郝官</w:t>
      </w:r>
      <w:bookmarkEnd w:id="226"/>
      <w:bookmarkEnd w:id="227"/>
      <w:r>
        <w:rPr>
          <w:rFonts w:hint="eastAsia" w:cs="仿宋_GB2312"/>
          <w:szCs w:val="32"/>
        </w:rPr>
        <w:t>屯</w:t>
      </w:r>
      <w:r>
        <w:rPr>
          <w:rFonts w:cs="仿宋_GB2312"/>
          <w:szCs w:val="32"/>
        </w:rPr>
        <w:t>镇以种植业、畜牧养殖业及文化旅游为重点，建设宜居宜业宜游生态郝官。西关</w:t>
      </w:r>
      <w:r>
        <w:rPr>
          <w:rFonts w:hint="eastAsia" w:cs="仿宋_GB2312"/>
          <w:szCs w:val="32"/>
        </w:rPr>
        <w:t>屯</w:t>
      </w:r>
      <w:r>
        <w:rPr>
          <w:rFonts w:cs="仿宋_GB2312"/>
          <w:szCs w:val="32"/>
        </w:rPr>
        <w:t>乡以绿色生态为基础，以特色产业、蒙满文化为支撑，以文体赛事活动为纽带，擦亮</w:t>
      </w:r>
      <w:r>
        <w:rPr>
          <w:rFonts w:hint="eastAsia" w:cs="仿宋_GB2312"/>
          <w:szCs w:val="32"/>
        </w:rPr>
        <w:t>“</w:t>
      </w:r>
      <w:r>
        <w:rPr>
          <w:rFonts w:cs="仿宋_GB2312"/>
          <w:szCs w:val="32"/>
        </w:rPr>
        <w:t>北村</w:t>
      </w:r>
      <w:r>
        <w:rPr>
          <w:rFonts w:hint="eastAsia" w:cs="仿宋_GB2312"/>
          <w:szCs w:val="32"/>
        </w:rPr>
        <w:t>”</w:t>
      </w:r>
      <w:r>
        <w:rPr>
          <w:rFonts w:cs="仿宋_GB2312"/>
          <w:szCs w:val="32"/>
        </w:rPr>
        <w:t>文旅新名片，打造省级知名</w:t>
      </w:r>
      <w:r>
        <w:rPr>
          <w:rFonts w:hint="eastAsia" w:cs="仿宋_GB2312"/>
          <w:szCs w:val="32"/>
        </w:rPr>
        <w:t>“</w:t>
      </w:r>
      <w:r>
        <w:rPr>
          <w:rFonts w:cs="仿宋_GB2312"/>
          <w:szCs w:val="32"/>
        </w:rPr>
        <w:t>农文体旅</w:t>
      </w:r>
      <w:r>
        <w:rPr>
          <w:rFonts w:hint="eastAsia" w:cs="仿宋_GB2312"/>
          <w:szCs w:val="32"/>
        </w:rPr>
        <w:t>”</w:t>
      </w:r>
      <w:r>
        <w:rPr>
          <w:rFonts w:cs="仿宋_GB2312"/>
          <w:szCs w:val="32"/>
        </w:rPr>
        <w:t>融合特色品牌及IP。</w:t>
      </w:r>
    </w:p>
    <w:p w14:paraId="181B8B50">
      <w:pPr>
        <w:ind w:firstLine="643"/>
      </w:pPr>
      <w:r>
        <w:rPr>
          <w:rFonts w:hint="eastAsia" w:cs="仿宋_GB2312"/>
          <w:b/>
          <w:szCs w:val="32"/>
        </w:rPr>
        <w:t>明晰一般镇产业优化方向。</w:t>
      </w:r>
      <w:r>
        <w:rPr>
          <w:rFonts w:cs="仿宋_GB2312"/>
          <w:szCs w:val="32"/>
        </w:rPr>
        <w:t>北三家子街道、方家屯镇、北四家子乡、两家子乡</w:t>
      </w:r>
      <w:r>
        <w:rPr>
          <w:rFonts w:hint="eastAsia" w:cs="仿宋_GB2312"/>
          <w:szCs w:val="32"/>
        </w:rPr>
        <w:t>等</w:t>
      </w:r>
      <w:r>
        <w:rPr>
          <w:rFonts w:cs="仿宋_GB2312"/>
          <w:szCs w:val="32"/>
        </w:rPr>
        <w:t>4个一般镇，重点发展果蔬、食用菌等产业，推进农业与旅游、教育、文化、康养等产业深度融合。二牛所口镇、海洲窝堡乡、东升乡、柳树乡、沙金台乡</w:t>
      </w:r>
      <w:r>
        <w:rPr>
          <w:rFonts w:hint="eastAsia" w:cs="仿宋_GB2312"/>
          <w:szCs w:val="32"/>
        </w:rPr>
        <w:t>等</w:t>
      </w:r>
      <w:r>
        <w:rPr>
          <w:rFonts w:cs="仿宋_GB2312"/>
          <w:szCs w:val="32"/>
        </w:rPr>
        <w:t>5个一般镇，重点发展畜牧业、杂粮</w:t>
      </w:r>
      <w:r>
        <w:rPr>
          <w:rFonts w:hint="eastAsia" w:cs="仿宋_GB2312"/>
          <w:szCs w:val="32"/>
        </w:rPr>
        <w:t>、鲜食玉米</w:t>
      </w:r>
      <w:r>
        <w:rPr>
          <w:rFonts w:cs="仿宋_GB2312"/>
          <w:szCs w:val="32"/>
        </w:rPr>
        <w:t>等特色作物种植业，积极培育林下经济，提升农业科技化发展水平。</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38C2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6C96E5A">
            <w:pPr>
              <w:pStyle w:val="25"/>
              <w:numPr>
                <w:ilvl w:val="0"/>
                <w:numId w:val="1"/>
              </w:numPr>
              <w:ind w:firstLineChars="0"/>
              <w:jc w:val="center"/>
              <w:outlineLvl w:val="3"/>
              <w:rPr>
                <w:rFonts w:eastAsia="楷体"/>
                <w:b/>
                <w:sz w:val="28"/>
                <w:szCs w:val="28"/>
              </w:rPr>
            </w:pPr>
            <w:bookmarkStart w:id="228" w:name="OLE_LINK182"/>
            <w:bookmarkStart w:id="229" w:name="OLE_LINK175"/>
            <w:r>
              <w:rPr>
                <w:rFonts w:hint="eastAsia" w:eastAsia="楷体"/>
                <w:b/>
                <w:sz w:val="28"/>
                <w:szCs w:val="28"/>
              </w:rPr>
              <w:t>乡镇重点项目</w:t>
            </w:r>
          </w:p>
          <w:bookmarkEnd w:id="228"/>
          <w:bookmarkEnd w:id="229"/>
          <w:p w14:paraId="3DB3C1D4">
            <w:pPr>
              <w:spacing w:line="320" w:lineRule="exact"/>
              <w:ind w:firstLine="422"/>
              <w:rPr>
                <w:sz w:val="21"/>
                <w:szCs w:val="21"/>
              </w:rPr>
            </w:pPr>
            <w:r>
              <w:rPr>
                <w:b/>
                <w:sz w:val="21"/>
                <w:szCs w:val="21"/>
              </w:rPr>
              <w:t>1.</w:t>
            </w:r>
            <w:r>
              <w:rPr>
                <w:rFonts w:hint="eastAsia"/>
                <w:b/>
                <w:sz w:val="21"/>
                <w:szCs w:val="21"/>
              </w:rPr>
              <w:t>张强镇基础设施提升项目。</w:t>
            </w:r>
            <w:r>
              <w:rPr>
                <w:rFonts w:hint="eastAsia"/>
                <w:sz w:val="21"/>
                <w:szCs w:val="21"/>
              </w:rPr>
              <w:t>改造原有桥涵，硬化人行道路面，安装路灯、栽植道路两侧绿化树。</w:t>
            </w:r>
          </w:p>
          <w:p w14:paraId="134F189D">
            <w:pPr>
              <w:spacing w:line="320" w:lineRule="exact"/>
              <w:ind w:firstLine="422"/>
              <w:rPr>
                <w:sz w:val="21"/>
                <w:szCs w:val="21"/>
              </w:rPr>
            </w:pPr>
            <w:r>
              <w:rPr>
                <w:b/>
                <w:sz w:val="21"/>
                <w:szCs w:val="21"/>
              </w:rPr>
              <w:t>2.</w:t>
            </w:r>
            <w:r>
              <w:rPr>
                <w:rFonts w:hint="eastAsia"/>
                <w:b/>
                <w:sz w:val="21"/>
                <w:szCs w:val="21"/>
              </w:rPr>
              <w:t>小城子镇汽车枢纽驿站建设项目。</w:t>
            </w:r>
            <w:r>
              <w:rPr>
                <w:rFonts w:hint="eastAsia"/>
                <w:sz w:val="21"/>
                <w:szCs w:val="21"/>
              </w:rPr>
              <w:t>依托蓝天加油站，打造汽车枢纽驿站。</w:t>
            </w:r>
          </w:p>
          <w:p w14:paraId="3871B490">
            <w:pPr>
              <w:spacing w:line="320" w:lineRule="exact"/>
              <w:ind w:firstLine="422"/>
              <w:rPr>
                <w:sz w:val="21"/>
                <w:szCs w:val="21"/>
              </w:rPr>
            </w:pPr>
            <w:r>
              <w:rPr>
                <w:b/>
                <w:sz w:val="21"/>
                <w:szCs w:val="21"/>
              </w:rPr>
              <w:t>3.</w:t>
            </w:r>
            <w:r>
              <w:rPr>
                <w:rFonts w:hint="eastAsia"/>
                <w:b/>
                <w:sz w:val="21"/>
                <w:szCs w:val="21"/>
              </w:rPr>
              <w:t>郝官屯镇基础设施提升项目。</w:t>
            </w:r>
            <w:r>
              <w:rPr>
                <w:rFonts w:hint="eastAsia"/>
                <w:sz w:val="21"/>
                <w:szCs w:val="21"/>
              </w:rPr>
              <w:t>包括修缮村屯两侧石砌边沟、安装路灯、桥涵清淤、硬化路面等基础设施。</w:t>
            </w:r>
          </w:p>
          <w:p w14:paraId="1CCF0B94">
            <w:pPr>
              <w:spacing w:line="320" w:lineRule="exact"/>
              <w:ind w:firstLine="422"/>
              <w:rPr>
                <w:sz w:val="21"/>
                <w:szCs w:val="21"/>
              </w:rPr>
            </w:pPr>
            <w:r>
              <w:rPr>
                <w:b/>
                <w:sz w:val="21"/>
                <w:szCs w:val="21"/>
              </w:rPr>
              <w:t>4.</w:t>
            </w:r>
            <w:r>
              <w:rPr>
                <w:rFonts w:hint="eastAsia"/>
                <w:b/>
                <w:sz w:val="21"/>
                <w:szCs w:val="21"/>
              </w:rPr>
              <w:t>西关屯乡基础设施项目。</w:t>
            </w:r>
            <w:r>
              <w:rPr>
                <w:rFonts w:hint="eastAsia"/>
                <w:sz w:val="21"/>
                <w:szCs w:val="21"/>
              </w:rPr>
              <w:t>重点推进公共区域路灯安装、场地硬覆盖、路边沟、水泥路、堆粪场建设等项目。</w:t>
            </w:r>
          </w:p>
        </w:tc>
      </w:tr>
      <w:bookmarkEnd w:id="157"/>
      <w:bookmarkEnd w:id="158"/>
      <w:bookmarkEnd w:id="159"/>
      <w:bookmarkEnd w:id="160"/>
    </w:tbl>
    <w:p w14:paraId="30F4EA3A">
      <w:pPr>
        <w:pStyle w:val="2"/>
        <w:spacing w:before="217" w:after="217"/>
        <w:rPr>
          <w:b w:val="0"/>
          <w:bCs/>
        </w:rPr>
      </w:pPr>
      <w:bookmarkStart w:id="230" w:name="_Toc212368732"/>
      <w:bookmarkStart w:id="231" w:name="_Toc213350206"/>
      <w:bookmarkStart w:id="232" w:name="_Toc237336668"/>
      <w:r>
        <w:rPr>
          <w:rFonts w:hint="eastAsia"/>
          <w:b w:val="0"/>
          <w:bCs/>
        </w:rPr>
        <w:t>第六章</w:t>
      </w:r>
      <w:r>
        <w:rPr>
          <w:b w:val="0"/>
          <w:bCs/>
        </w:rPr>
        <w:t xml:space="preserve"> </w:t>
      </w:r>
      <w:bookmarkEnd w:id="230"/>
      <w:bookmarkEnd w:id="231"/>
      <w:r>
        <w:rPr>
          <w:rFonts w:hint="eastAsia"/>
          <w:b w:val="0"/>
          <w:bCs/>
        </w:rPr>
        <w:t>着力扩内需稳外需 积极服务和融入新发展格局</w:t>
      </w:r>
      <w:bookmarkEnd w:id="232"/>
    </w:p>
    <w:p w14:paraId="59FBABF9">
      <w:pPr>
        <w:ind w:firstLine="640"/>
        <w:rPr>
          <w:rFonts w:cs="Times New Roman"/>
        </w:rPr>
      </w:pPr>
      <w:r>
        <w:rPr>
          <w:rFonts w:hint="eastAsia"/>
        </w:rPr>
        <w:t>强化现代服务业对经济增长的支撑作用，</w:t>
      </w:r>
      <w:r>
        <w:rPr>
          <w:rFonts w:cs="Times New Roman"/>
        </w:rPr>
        <w:t>统筹激发消费潜能和拓展有效投资空间，</w:t>
      </w:r>
      <w:r>
        <w:rPr>
          <w:rFonts w:hint="eastAsia"/>
        </w:rPr>
        <w:t>积极融入沈阳都市圈建设，打造辽吉蒙两省一区重要节点。</w:t>
      </w:r>
      <w:r>
        <w:rPr>
          <w:rFonts w:cs="Times New Roman"/>
        </w:rPr>
        <w:t>到2030年，服务业增加值实现年均增长5%左右。</w:t>
      </w:r>
    </w:p>
    <w:p w14:paraId="41D86AA4">
      <w:pPr>
        <w:pStyle w:val="3"/>
        <w:spacing w:before="217" w:after="217"/>
      </w:pPr>
      <w:bookmarkStart w:id="233" w:name="_Toc237336669"/>
      <w:r>
        <w:rPr>
          <w:rFonts w:hint="eastAsia"/>
        </w:rPr>
        <w:t>第一节</w:t>
      </w:r>
      <w:r>
        <w:t xml:space="preserve"> </w:t>
      </w:r>
      <w:bookmarkStart w:id="234" w:name="OLE_LINK54"/>
      <w:bookmarkStart w:id="235" w:name="OLE_LINK53"/>
      <w:r>
        <w:rPr>
          <w:rFonts w:hint="eastAsia"/>
        </w:rPr>
        <w:t>促进</w:t>
      </w:r>
      <w:bookmarkStart w:id="236" w:name="OLE_LINK193"/>
      <w:r>
        <w:rPr>
          <w:rFonts w:hint="eastAsia"/>
        </w:rPr>
        <w:t>服务业优质发展</w:t>
      </w:r>
      <w:bookmarkEnd w:id="233"/>
      <w:bookmarkEnd w:id="234"/>
      <w:bookmarkEnd w:id="235"/>
      <w:bookmarkEnd w:id="236"/>
    </w:p>
    <w:p w14:paraId="16888BA3">
      <w:pPr>
        <w:ind w:firstLine="643"/>
      </w:pPr>
      <w:r>
        <w:rPr>
          <w:rFonts w:hint="eastAsia" w:cs="仿宋_GB2312"/>
          <w:b/>
          <w:szCs w:val="32"/>
        </w:rPr>
        <w:t>推进生产性服务业高质量发展。</w:t>
      </w:r>
      <w:r>
        <w:rPr>
          <w:rFonts w:hint="eastAsia" w:cs="仿宋_GB2312"/>
          <w:szCs w:val="32"/>
        </w:rPr>
        <w:t>补齐县域物流基础设施短板，推动康平县物流产业园及区域农产品加工冷链物流中心建设，打造“仓储—分拣—冷链—配送”一体化枢纽。延伸产业服务价值链，培育发展研发设计、检验检测、供应链管理等生产性服务业，引入生物化工、新材料标准化认证服务机构等，建设农产品质量检测中心。完善资本要素服务实体经济功能，以参与组建“辽宁创益现代农业科创投资基金”为重要契机，充分激活基金市场化配置功能，培育金融和保险服务等生产性服务业，撬动社会资本投向现代农业升级与特色资源开发领域。</w:t>
      </w:r>
    </w:p>
    <w:p w14:paraId="46D1ADBE">
      <w:pPr>
        <w:ind w:firstLine="643"/>
        <w:rPr>
          <w:rFonts w:ascii="仿宋_GB2312" w:cs="仿宋_GB2312"/>
          <w:bCs/>
          <w:szCs w:val="32"/>
        </w:rPr>
      </w:pPr>
      <w:bookmarkStart w:id="237" w:name="OLE_LINK45"/>
      <w:bookmarkStart w:id="238" w:name="OLE_LINK44"/>
      <w:r>
        <w:rPr>
          <w:rFonts w:hint="eastAsia" w:cs="仿宋_GB2312"/>
          <w:b/>
          <w:szCs w:val="32"/>
        </w:rPr>
        <w:t>加快生活性服务业多样化升级。</w:t>
      </w:r>
      <w:r>
        <w:rPr>
          <w:rFonts w:hint="eastAsia" w:ascii="仿宋_GB2312" w:hAnsi="仿宋_GB2312" w:cs="仿宋_GB2312"/>
          <w:szCs w:val="32"/>
        </w:rPr>
        <w:t>激活传统商贸活力，支持康平百货、九派等老牌商贸综合体拓展线上销售渠道、升级线下体验场景。推动住宿餐饮与文体旅深度融合，培育沙漠主题营地等特色住宿业态，打造康平锶鱼、康平羊汤等</w:t>
      </w:r>
      <w:r>
        <w:rPr>
          <w:rFonts w:hint="eastAsia" w:cs="仿宋_GB2312"/>
          <w:szCs w:val="32"/>
        </w:rPr>
        <w:t>“康平味道”特色食品</w:t>
      </w:r>
      <w:r>
        <w:rPr>
          <w:rFonts w:hint="eastAsia" w:ascii="仿宋_GB2312" w:hAnsi="仿宋_GB2312" w:cs="仿宋_GB2312"/>
          <w:szCs w:val="32"/>
        </w:rPr>
        <w:t>，推动餐饮住宿业态从“基础供给”向“文化体验”升级。建设中医药特色医康养体系，激发辽宁中医院康平分院优势，做优中医“夜市”品牌，构建“医疗+养老+中医药”融合发展模式，打造集药膳调理、康复理疗、休闲养生于一体的康养基地。</w:t>
      </w:r>
      <w:r>
        <w:rPr>
          <w:rFonts w:hint="eastAsia" w:ascii="仿宋_GB2312" w:hAnsi="仿宋" w:cs="宋体"/>
          <w:kern w:val="0"/>
          <w:szCs w:val="32"/>
        </w:rPr>
        <w:t>升级康平融媒</w:t>
      </w:r>
      <w:r>
        <w:rPr>
          <w:rFonts w:hint="eastAsia" w:cs="仿宋_GB2312"/>
          <w:bCs/>
          <w:szCs w:val="32"/>
        </w:rPr>
        <w:t>APP</w:t>
      </w:r>
      <w:r>
        <w:rPr>
          <w:rFonts w:hint="eastAsia" w:ascii="仿宋_GB2312" w:hAnsi="仿宋" w:cs="宋体"/>
          <w:kern w:val="0"/>
          <w:szCs w:val="32"/>
        </w:rPr>
        <w:t>服务生态，打造集商圈优惠、民生提醒、生活缴费和本地资讯等功能于一体的便民板块</w:t>
      </w:r>
      <w:r>
        <w:rPr>
          <w:rFonts w:hint="eastAsia" w:ascii="仿宋_GB2312" w:cs="仿宋_GB2312"/>
          <w:bCs/>
          <w:szCs w:val="32"/>
        </w:rPr>
        <w:t>。</w:t>
      </w:r>
      <w:bookmarkEnd w:id="237"/>
      <w:bookmarkEnd w:id="238"/>
    </w:p>
    <w:p w14:paraId="43A42226">
      <w:pPr>
        <w:ind w:firstLine="643"/>
        <w:rPr>
          <w:rFonts w:ascii="仿宋_GB2312" w:cs="仿宋_GB2312"/>
          <w:bCs/>
          <w:szCs w:val="32"/>
        </w:rPr>
      </w:pPr>
      <w:r>
        <w:rPr>
          <w:rFonts w:hint="eastAsia"/>
          <w:b/>
        </w:rPr>
        <w:t>优化县域商业体系建设。</w:t>
      </w:r>
      <w:r>
        <w:rPr>
          <w:rFonts w:hint="eastAsia"/>
        </w:rPr>
        <w:t>构建“中心城区引领+乡镇节点支撑+村级网点覆盖”三级商业网络。打造具有区域影响力的现代服务业中心，推动中心城区现有商贸向“业态融合、功能复合、体验多元”转型，优化提升辽街、步行街、汽修一条街、批发一条街等特色商业街区，推进辽街电商基地搭建农副产品销售专区；因地制宜推进乡镇商贸中心升级，配套建设快递收发站和电商服务点；实施农村商业数字化提升工程，推动40%的村级便民商店实现数字化功能改造，提高农村商业服务水平。</w:t>
      </w:r>
    </w:p>
    <w:p w14:paraId="1091833C">
      <w:pPr>
        <w:ind w:firstLine="643"/>
      </w:pPr>
      <w:r>
        <w:rPr>
          <w:rFonts w:hint="eastAsia"/>
          <w:b/>
        </w:rPr>
        <w:t>打造多元消费场景。</w:t>
      </w:r>
      <w:r>
        <w:rPr>
          <w:rFonts w:hint="eastAsia"/>
        </w:rPr>
        <w:t>构建“文化为核+赛事引流+消费聚合”品质消费场景，打造以“辽文化”为核心的沉浸式文旅商业街区，重现“辽代古城”风韵。培育“赛事+消费”新模式，发挥大型体育赛事引流作用，开展配套消费促进活动，沿赛事动线及核心商圈设置特色产品展销区，实现“以赛促游、以游带购”。</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50C83E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8296" w:type="dxa"/>
          </w:tcPr>
          <w:p w14:paraId="100B8179">
            <w:pPr>
              <w:pStyle w:val="25"/>
              <w:numPr>
                <w:ilvl w:val="0"/>
                <w:numId w:val="1"/>
              </w:numPr>
              <w:ind w:firstLineChars="0"/>
              <w:jc w:val="center"/>
              <w:outlineLvl w:val="3"/>
              <w:rPr>
                <w:rFonts w:eastAsia="楷体"/>
                <w:b/>
                <w:sz w:val="28"/>
                <w:szCs w:val="28"/>
              </w:rPr>
            </w:pPr>
            <w:r>
              <w:rPr>
                <w:rFonts w:hint="eastAsia" w:eastAsia="楷体"/>
                <w:b/>
                <w:sz w:val="28"/>
                <w:szCs w:val="28"/>
              </w:rPr>
              <w:t>服务业领域重点项目</w:t>
            </w:r>
          </w:p>
          <w:p w14:paraId="61C9136A">
            <w:pPr>
              <w:spacing w:line="320" w:lineRule="exact"/>
              <w:ind w:firstLine="422"/>
              <w:rPr>
                <w:sz w:val="21"/>
                <w:szCs w:val="21"/>
              </w:rPr>
            </w:pPr>
            <w:r>
              <w:rPr>
                <w:b/>
                <w:sz w:val="21"/>
                <w:szCs w:val="21"/>
              </w:rPr>
              <w:t>1.</w:t>
            </w:r>
            <w:r>
              <w:rPr>
                <w:rFonts w:hint="eastAsia"/>
                <w:b/>
                <w:sz w:val="21"/>
                <w:szCs w:val="21"/>
              </w:rPr>
              <w:t>康平县区域农产品加工冷链物流中心项目。</w:t>
            </w:r>
            <w:r>
              <w:rPr>
                <w:rFonts w:hint="eastAsia"/>
                <w:sz w:val="21"/>
                <w:szCs w:val="21"/>
              </w:rPr>
              <w:t>包括冷藏库群、农产品加工车间等。</w:t>
            </w:r>
          </w:p>
          <w:p w14:paraId="5665971D">
            <w:pPr>
              <w:spacing w:line="320" w:lineRule="exact"/>
              <w:ind w:firstLine="422"/>
              <w:rPr>
                <w:sz w:val="21"/>
                <w:szCs w:val="21"/>
              </w:rPr>
            </w:pPr>
            <w:r>
              <w:rPr>
                <w:b/>
                <w:sz w:val="21"/>
                <w:szCs w:val="21"/>
              </w:rPr>
              <w:t>2.</w:t>
            </w:r>
            <w:r>
              <w:rPr>
                <w:rFonts w:hint="eastAsia"/>
                <w:b/>
                <w:sz w:val="21"/>
                <w:szCs w:val="21"/>
              </w:rPr>
              <w:t>电商物流基地项目。</w:t>
            </w:r>
            <w:r>
              <w:rPr>
                <w:rFonts w:hint="eastAsia"/>
                <w:sz w:val="21"/>
                <w:szCs w:val="21"/>
              </w:rPr>
              <w:t>包括装修装饰工程、结构加固工程、电气及消防工程等。</w:t>
            </w:r>
          </w:p>
          <w:p w14:paraId="46B6D01A">
            <w:pPr>
              <w:spacing w:line="320" w:lineRule="exact"/>
              <w:ind w:firstLine="422"/>
              <w:rPr>
                <w:sz w:val="21"/>
                <w:szCs w:val="21"/>
              </w:rPr>
            </w:pPr>
            <w:r>
              <w:rPr>
                <w:rFonts w:hint="eastAsia"/>
                <w:b/>
                <w:sz w:val="21"/>
                <w:szCs w:val="21"/>
              </w:rPr>
              <w:t>3</w:t>
            </w:r>
            <w:r>
              <w:rPr>
                <w:b/>
                <w:sz w:val="21"/>
                <w:szCs w:val="21"/>
              </w:rPr>
              <w:t>.</w:t>
            </w:r>
            <w:r>
              <w:rPr>
                <w:rFonts w:hint="eastAsia"/>
                <w:b/>
                <w:sz w:val="21"/>
                <w:szCs w:val="21"/>
              </w:rPr>
              <w:t>康平供应链冷链物流园项目。</w:t>
            </w:r>
            <w:r>
              <w:rPr>
                <w:rFonts w:hint="eastAsia"/>
                <w:sz w:val="21"/>
                <w:szCs w:val="21"/>
              </w:rPr>
              <w:t>建设内容包括恒温和低温冷库、装卸平台、分拣和加工车间、自动分拣线、运输停车场、调度中心、维修站、信息大楼及其他配套基础设施。</w:t>
            </w:r>
          </w:p>
          <w:p w14:paraId="1774D493">
            <w:pPr>
              <w:spacing w:line="320" w:lineRule="exact"/>
              <w:ind w:firstLine="422"/>
              <w:rPr>
                <w:sz w:val="21"/>
                <w:szCs w:val="21"/>
              </w:rPr>
            </w:pPr>
            <w:r>
              <w:rPr>
                <w:rFonts w:hint="eastAsia"/>
                <w:b/>
                <w:sz w:val="21"/>
                <w:szCs w:val="21"/>
              </w:rPr>
              <w:t>4</w:t>
            </w:r>
            <w:r>
              <w:rPr>
                <w:b/>
                <w:sz w:val="21"/>
                <w:szCs w:val="21"/>
              </w:rPr>
              <w:t>.</w:t>
            </w:r>
            <w:r>
              <w:rPr>
                <w:rFonts w:hint="eastAsia"/>
                <w:b/>
                <w:sz w:val="21"/>
                <w:szCs w:val="21"/>
              </w:rPr>
              <w:t>小城子镇区域商贸服务中心建设项目。</w:t>
            </w:r>
            <w:r>
              <w:rPr>
                <w:rFonts w:hint="eastAsia"/>
                <w:sz w:val="21"/>
                <w:szCs w:val="21"/>
              </w:rPr>
              <w:t>在现有供销合作社院内与县供销合作社联合新建农贸大厅。</w:t>
            </w:r>
          </w:p>
          <w:p w14:paraId="39F1ADDD">
            <w:pPr>
              <w:spacing w:line="320" w:lineRule="exact"/>
              <w:ind w:firstLine="422"/>
              <w:rPr>
                <w:sz w:val="21"/>
                <w:szCs w:val="21"/>
              </w:rPr>
            </w:pPr>
            <w:r>
              <w:rPr>
                <w:rFonts w:hint="eastAsia"/>
                <w:b/>
                <w:sz w:val="21"/>
                <w:szCs w:val="21"/>
              </w:rPr>
              <w:t>5</w:t>
            </w:r>
            <w:r>
              <w:rPr>
                <w:b/>
                <w:sz w:val="21"/>
                <w:szCs w:val="21"/>
              </w:rPr>
              <w:t>.</w:t>
            </w:r>
            <w:r>
              <w:rPr>
                <w:rFonts w:hint="eastAsia"/>
                <w:b/>
                <w:sz w:val="21"/>
                <w:szCs w:val="21"/>
              </w:rPr>
              <w:t>大型超市连锁经营项目。</w:t>
            </w:r>
            <w:r>
              <w:rPr>
                <w:rFonts w:hint="eastAsia"/>
                <w:sz w:val="21"/>
                <w:szCs w:val="21"/>
              </w:rPr>
              <w:t>整合各乡镇商超，打造全方位货物商品配送及物流一站式服务。</w:t>
            </w:r>
          </w:p>
          <w:p w14:paraId="14A39161">
            <w:pPr>
              <w:spacing w:line="320" w:lineRule="exact"/>
              <w:ind w:firstLine="422"/>
              <w:rPr>
                <w:sz w:val="21"/>
                <w:szCs w:val="21"/>
              </w:rPr>
            </w:pPr>
            <w:r>
              <w:rPr>
                <w:rFonts w:hint="eastAsia"/>
                <w:b/>
                <w:sz w:val="21"/>
                <w:szCs w:val="21"/>
              </w:rPr>
              <w:t>6.</w:t>
            </w:r>
            <w:bookmarkStart w:id="239" w:name="OLE_LINK131"/>
            <w:bookmarkStart w:id="240" w:name="OLE_LINK132"/>
            <w:r>
              <w:rPr>
                <w:rFonts w:hint="eastAsia"/>
                <w:b/>
                <w:sz w:val="21"/>
                <w:szCs w:val="21"/>
              </w:rPr>
              <w:t>商标转印项目</w:t>
            </w:r>
            <w:bookmarkEnd w:id="239"/>
            <w:bookmarkEnd w:id="240"/>
            <w:r>
              <w:rPr>
                <w:rFonts w:hint="eastAsia"/>
                <w:b/>
                <w:sz w:val="21"/>
                <w:szCs w:val="21"/>
              </w:rPr>
              <w:t>。</w:t>
            </w:r>
            <w:bookmarkStart w:id="241" w:name="OLE_LINK133"/>
            <w:bookmarkStart w:id="242" w:name="OLE_LINK134"/>
            <w:r>
              <w:rPr>
                <w:rFonts w:hint="eastAsia"/>
                <w:sz w:val="21"/>
                <w:szCs w:val="21"/>
              </w:rPr>
              <w:t>建设三条印刷生产线及其附属设施。</w:t>
            </w:r>
            <w:bookmarkEnd w:id="241"/>
            <w:bookmarkEnd w:id="242"/>
          </w:p>
        </w:tc>
      </w:tr>
    </w:tbl>
    <w:p w14:paraId="15BD53C0">
      <w:pPr>
        <w:pStyle w:val="3"/>
        <w:spacing w:before="217" w:after="217"/>
      </w:pPr>
      <w:bookmarkStart w:id="243" w:name="_Toc237336670"/>
      <w:bookmarkStart w:id="244" w:name="_Toc213350215"/>
      <w:bookmarkStart w:id="245" w:name="OLE_LINK192"/>
      <w:bookmarkStart w:id="246" w:name="_Toc212368740"/>
      <w:r>
        <w:rPr>
          <w:rFonts w:hint="eastAsia"/>
        </w:rPr>
        <w:t>第二节</w:t>
      </w:r>
      <w:r>
        <w:t xml:space="preserve"> </w:t>
      </w:r>
      <w:r>
        <w:rPr>
          <w:rFonts w:hint="eastAsia"/>
        </w:rPr>
        <w:t>着力扩大有效投资</w:t>
      </w:r>
      <w:bookmarkEnd w:id="243"/>
    </w:p>
    <w:p w14:paraId="2442DC48">
      <w:pPr>
        <w:ind w:firstLine="643"/>
        <w:rPr>
          <w:rFonts w:cs="Times New Roman"/>
        </w:rPr>
      </w:pPr>
      <w:r>
        <w:rPr>
          <w:rFonts w:cs="Times New Roman"/>
          <w:b/>
          <w:bCs/>
        </w:rPr>
        <w:t>强化重点领域投资。</w:t>
      </w:r>
      <w:r>
        <w:rPr>
          <w:rFonts w:cs="Times New Roman"/>
        </w:rPr>
        <w:t>加大“投资于人”力度，优化政府投资结构，提高民生类政府投资比重，加强全过程管理</w:t>
      </w:r>
      <w:r>
        <w:rPr>
          <w:rFonts w:hint="eastAsia" w:cs="Times New Roman"/>
        </w:rPr>
        <w:t>；</w:t>
      </w:r>
      <w:r>
        <w:rPr>
          <w:rFonts w:cs="Times New Roman"/>
        </w:rPr>
        <w:t>围绕教育文化、卫生健康等关键民生领域，加大投资力度，推动人的全面发展。提升“投资于物”效能，更加注重投资需求和效益，加快科技创新、产业发展、现代基础设施以及现代化人民城市、农业农村、绿色生态、安全保障等领域投资建设，实施</w:t>
      </w:r>
      <w:r>
        <w:rPr>
          <w:rFonts w:hint="eastAsia" w:cs="Times New Roman"/>
        </w:rPr>
        <w:t>生物化工</w:t>
      </w:r>
      <w:r>
        <w:rPr>
          <w:rFonts w:cs="Times New Roman"/>
        </w:rPr>
        <w:t>、</w:t>
      </w:r>
      <w:r>
        <w:rPr>
          <w:rFonts w:hint="eastAsia" w:cs="Times New Roman"/>
        </w:rPr>
        <w:t>清洁能源</w:t>
      </w:r>
      <w:r>
        <w:rPr>
          <w:rFonts w:cs="Times New Roman"/>
        </w:rPr>
        <w:t>、城市更新</w:t>
      </w:r>
      <w:r>
        <w:rPr>
          <w:rFonts w:hint="eastAsia" w:cs="Times New Roman"/>
        </w:rPr>
        <w:t>、区域交通</w:t>
      </w:r>
      <w:r>
        <w:rPr>
          <w:rFonts w:cs="Times New Roman"/>
        </w:rPr>
        <w:t>等一批重大工程。</w:t>
      </w:r>
    </w:p>
    <w:p w14:paraId="2FD88599">
      <w:pPr>
        <w:ind w:firstLine="643"/>
        <w:rPr>
          <w:rFonts w:cs="Times New Roman"/>
        </w:rPr>
      </w:pPr>
      <w:r>
        <w:rPr>
          <w:rFonts w:cs="Times New Roman"/>
          <w:b/>
          <w:bCs/>
        </w:rPr>
        <w:t>创新招商引资模式。</w:t>
      </w:r>
      <w:r>
        <w:rPr>
          <w:rFonts w:cs="Times New Roman"/>
        </w:rPr>
        <w:t>聚焦京津冀、长三角、珠三角等重点地区，积极推进招商模式创新，开展产业链招商、场景</w:t>
      </w:r>
      <w:r>
        <w:rPr>
          <w:rFonts w:hint="eastAsia" w:cs="Times New Roman"/>
        </w:rPr>
        <w:t>招商</w:t>
      </w:r>
      <w:r>
        <w:rPr>
          <w:rFonts w:cs="Times New Roman"/>
        </w:rPr>
        <w:t>。围绕“链主”项目，加大上下游的原材料、辅料、零部件等配套环节引资力度，吸引具备相应技术能力和市场资源的企业“接单”落地。</w:t>
      </w:r>
    </w:p>
    <w:p w14:paraId="51CAA1CB">
      <w:pPr>
        <w:ind w:firstLine="643"/>
        <w:rPr>
          <w:rFonts w:cs="Times New Roman"/>
        </w:rPr>
      </w:pPr>
      <w:r>
        <w:rPr>
          <w:rFonts w:cs="Times New Roman"/>
          <w:b/>
          <w:bCs/>
        </w:rPr>
        <w:t>推进重点项目建设。</w:t>
      </w:r>
      <w:r>
        <w:rPr>
          <w:rFonts w:cs="Times New Roman"/>
        </w:rPr>
        <w:t>深入实施“十五五”重大工程项目建设。健全项目“谋立推建”全生命周期管理模式，强化领导包保服务等工作机制。</w:t>
      </w:r>
      <w:bookmarkStart w:id="247" w:name="OLE_LINK196"/>
      <w:bookmarkStart w:id="248" w:name="OLE_LINK116"/>
      <w:r>
        <w:rPr>
          <w:rFonts w:cs="Times New Roman"/>
        </w:rPr>
        <w:t>聚焦“两重”“两新”，</w:t>
      </w:r>
      <w:r>
        <w:rPr>
          <w:rFonts w:hint="eastAsia" w:cs="Times New Roman"/>
        </w:rPr>
        <w:t>优化完善项目库，</w:t>
      </w:r>
      <w:bookmarkEnd w:id="247"/>
      <w:bookmarkEnd w:id="248"/>
      <w:r>
        <w:rPr>
          <w:rFonts w:hint="eastAsia" w:cs="Times New Roman"/>
        </w:rPr>
        <w:t>构建项目滚动库管理模式，推动更多项目获得国家支持。</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C4608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45057B3">
            <w:pPr>
              <w:pStyle w:val="25"/>
              <w:numPr>
                <w:ilvl w:val="0"/>
                <w:numId w:val="1"/>
              </w:numPr>
              <w:ind w:left="0" w:firstLine="0" w:firstLineChars="0"/>
              <w:jc w:val="center"/>
              <w:outlineLvl w:val="3"/>
              <w:rPr>
                <w:rFonts w:eastAsia="楷体"/>
                <w:b/>
                <w:sz w:val="28"/>
                <w:szCs w:val="28"/>
              </w:rPr>
            </w:pPr>
            <w:r>
              <w:rPr>
                <w:rFonts w:hint="eastAsia" w:eastAsia="楷体"/>
                <w:b/>
                <w:sz w:val="28"/>
                <w:szCs w:val="28"/>
              </w:rPr>
              <w:t>重点招商项目</w:t>
            </w:r>
          </w:p>
          <w:p w14:paraId="4C7531E8">
            <w:pPr>
              <w:spacing w:line="320" w:lineRule="exact"/>
              <w:ind w:firstLine="422"/>
              <w:rPr>
                <w:sz w:val="21"/>
                <w:szCs w:val="21"/>
              </w:rPr>
            </w:pPr>
            <w:r>
              <w:rPr>
                <w:b/>
                <w:sz w:val="21"/>
                <w:szCs w:val="21"/>
              </w:rPr>
              <w:t>1.</w:t>
            </w:r>
            <w:r>
              <w:rPr>
                <w:rFonts w:hint="eastAsia"/>
                <w:b/>
                <w:sz w:val="21"/>
                <w:szCs w:val="21"/>
              </w:rPr>
              <w:t>京津冀地区重点招商项目。</w:t>
            </w:r>
            <w:r>
              <w:rPr>
                <w:rFonts w:hint="eastAsia"/>
                <w:sz w:val="21"/>
                <w:szCs w:val="21"/>
              </w:rPr>
              <w:t>依托“京沈协同”基础，重点对接食品加工、包装材料等轻资产项目，引入生物化工技术转化项目；对接央企，争取“绿氢</w:t>
            </w:r>
            <w:r>
              <w:rPr>
                <w:sz w:val="21"/>
                <w:szCs w:val="21"/>
              </w:rPr>
              <w:t>+</w:t>
            </w:r>
            <w:r>
              <w:rPr>
                <w:rFonts w:hint="eastAsia"/>
                <w:sz w:val="21"/>
                <w:szCs w:val="21"/>
              </w:rPr>
              <w:t>化工”“农光互补”二期项目。</w:t>
            </w:r>
          </w:p>
          <w:p w14:paraId="23D1B621">
            <w:pPr>
              <w:spacing w:line="320" w:lineRule="exact"/>
              <w:ind w:firstLine="422"/>
              <w:rPr>
                <w:sz w:val="21"/>
                <w:szCs w:val="21"/>
              </w:rPr>
            </w:pPr>
            <w:r>
              <w:rPr>
                <w:b/>
                <w:sz w:val="21"/>
                <w:szCs w:val="21"/>
              </w:rPr>
              <w:t>2.</w:t>
            </w:r>
            <w:r>
              <w:rPr>
                <w:rFonts w:hint="eastAsia"/>
                <w:b/>
                <w:sz w:val="21"/>
                <w:szCs w:val="21"/>
              </w:rPr>
              <w:t>长三角地区重点招商项目。</w:t>
            </w:r>
            <w:r>
              <w:rPr>
                <w:rFonts w:hint="eastAsia"/>
                <w:sz w:val="21"/>
                <w:szCs w:val="21"/>
              </w:rPr>
              <w:t>聚焦长三角“数字经济</w:t>
            </w:r>
            <w:r>
              <w:rPr>
                <w:sz w:val="21"/>
                <w:szCs w:val="21"/>
              </w:rPr>
              <w:t>+</w:t>
            </w:r>
            <w:r>
              <w:rPr>
                <w:rFonts w:hint="eastAsia"/>
                <w:sz w:val="21"/>
                <w:szCs w:val="21"/>
              </w:rPr>
              <w:t>现代农业”，引进农产品电商运营团队，搭建“县域特色农产品直播基地”，推动农村电商与冷链物流融合；对接长三角新材料企业，引入生物化工产业链上下游配套项目。</w:t>
            </w:r>
          </w:p>
          <w:p w14:paraId="614AC873">
            <w:pPr>
              <w:spacing w:line="320" w:lineRule="exact"/>
              <w:ind w:firstLine="422"/>
              <w:rPr>
                <w:sz w:val="21"/>
                <w:szCs w:val="21"/>
              </w:rPr>
            </w:pPr>
            <w:r>
              <w:rPr>
                <w:b/>
                <w:sz w:val="21"/>
                <w:szCs w:val="21"/>
              </w:rPr>
              <w:t>3.</w:t>
            </w:r>
            <w:r>
              <w:rPr>
                <w:rFonts w:hint="eastAsia"/>
                <w:b/>
                <w:sz w:val="21"/>
                <w:szCs w:val="21"/>
              </w:rPr>
              <w:t>珠三角地区重点招商项目。</w:t>
            </w:r>
            <w:r>
              <w:rPr>
                <w:rFonts w:hint="eastAsia"/>
                <w:sz w:val="21"/>
                <w:szCs w:val="21"/>
              </w:rPr>
              <w:t>利用珠三角外向型经济优势，对接港澳外资企业，重点引进储能设备制造、文旅康养运营等项目；与珠三角港口城市合作，建立“县域特色产品外销通道”，推动农产品深加工产品等出口。</w:t>
            </w:r>
          </w:p>
        </w:tc>
      </w:tr>
    </w:tbl>
    <w:p w14:paraId="3C62845B">
      <w:pPr>
        <w:pStyle w:val="3"/>
        <w:spacing w:before="217" w:after="217"/>
      </w:pPr>
      <w:bookmarkStart w:id="249" w:name="_Toc237336671"/>
      <w:r>
        <w:rPr>
          <w:rFonts w:hint="eastAsia"/>
        </w:rPr>
        <w:t>第三节</w:t>
      </w:r>
      <w:r>
        <w:t xml:space="preserve"> </w:t>
      </w:r>
      <w:r>
        <w:rPr>
          <w:rFonts w:hint="eastAsia"/>
        </w:rPr>
        <w:t>提高对外开放水平</w:t>
      </w:r>
      <w:bookmarkEnd w:id="249"/>
    </w:p>
    <w:p w14:paraId="7A6AD9DA">
      <w:pPr>
        <w:pStyle w:val="6"/>
        <w:ind w:firstLine="643"/>
        <w:jc w:val="both"/>
      </w:pPr>
      <w:r>
        <w:rPr>
          <w:rFonts w:hint="eastAsia"/>
          <w:b/>
        </w:rPr>
        <w:t>建设辽吉蒙两省一区重要节点。</w:t>
      </w:r>
      <w:r>
        <w:rPr>
          <w:rFonts w:hint="eastAsia"/>
        </w:rPr>
        <w:t>构建多维度交通物流枢纽，强化沈康综合立体交通走廊建设，</w:t>
      </w:r>
      <w:bookmarkStart w:id="250" w:name="OLE_LINK211"/>
      <w:bookmarkStart w:id="251" w:name="OLE_LINK212"/>
      <w:r>
        <w:rPr>
          <w:rFonts w:hint="eastAsia"/>
        </w:rPr>
        <w:t>加快跟进沈阳至金宝屯铁路建设，填补康平干线铁路空白</w:t>
      </w:r>
      <w:bookmarkEnd w:id="250"/>
      <w:bookmarkEnd w:id="251"/>
      <w:r>
        <w:rPr>
          <w:rFonts w:hint="eastAsia"/>
        </w:rPr>
        <w:t>。推动沈蒙大通道、沈张线等跨省公路及辽河特大桥项目建设，健全辽吉蒙综合交通中转站，提高区域出行条件。打造跨区域产业合作平台，持续深化开发区与辽宁其他开发区及内蒙古、吉林、黑龙江等地开发区的交流合作。</w:t>
      </w:r>
      <w:r>
        <w:rPr>
          <w:rFonts w:ascii="Segoe UI" w:hAnsi="Segoe UI" w:cs="Segoe UI"/>
          <w:shd w:val="clear" w:color="auto" w:fill="FFFFFF"/>
        </w:rPr>
        <w:t>升级县域商业体系</w:t>
      </w:r>
      <w:r>
        <w:rPr>
          <w:rFonts w:hint="eastAsia" w:ascii="Segoe UI" w:hAnsi="Segoe UI" w:cs="Segoe UI"/>
          <w:shd w:val="clear" w:color="auto" w:fill="FFFFFF"/>
        </w:rPr>
        <w:t>，丰富</w:t>
      </w:r>
      <w:r>
        <w:rPr>
          <w:rFonts w:ascii="Segoe UI" w:hAnsi="Segoe UI" w:cs="Segoe UI"/>
          <w:shd w:val="clear" w:color="auto" w:fill="FFFFFF"/>
        </w:rPr>
        <w:t>文旅消费场景</w:t>
      </w:r>
      <w:r>
        <w:rPr>
          <w:rFonts w:hint="eastAsia" w:ascii="Segoe UI" w:hAnsi="Segoe UI" w:cs="Segoe UI"/>
          <w:shd w:val="clear" w:color="auto" w:fill="FFFFFF"/>
        </w:rPr>
        <w:t>，做强农资集散等商贸领域，吸引周边地区向康平集中，</w:t>
      </w:r>
      <w:r>
        <w:rPr>
          <w:rFonts w:hint="eastAsia"/>
        </w:rPr>
        <w:t>打造区域商贸中心。</w:t>
      </w:r>
    </w:p>
    <w:p w14:paraId="1FE25142">
      <w:pPr>
        <w:pStyle w:val="6"/>
        <w:ind w:firstLine="643"/>
        <w:jc w:val="both"/>
        <w:rPr>
          <w:rFonts w:cs="仿宋_GB2312"/>
          <w:szCs w:val="32"/>
        </w:rPr>
      </w:pPr>
      <w:bookmarkStart w:id="252" w:name="OLE_LINK199"/>
      <w:bookmarkStart w:id="253" w:name="OLE_LINK198"/>
      <w:r>
        <w:rPr>
          <w:rFonts w:hint="eastAsia"/>
          <w:b/>
        </w:rPr>
        <w:t>积极融入沈阳都市圈</w:t>
      </w:r>
      <w:bookmarkEnd w:id="252"/>
      <w:bookmarkEnd w:id="253"/>
      <w:r>
        <w:rPr>
          <w:rFonts w:hint="eastAsia"/>
          <w:b/>
        </w:rPr>
        <w:t>。</w:t>
      </w:r>
      <w:r>
        <w:rPr>
          <w:rFonts w:hint="eastAsia"/>
        </w:rPr>
        <w:t>促进公共服务共享互认，加强政务服务合作，实现社保、医疗、教育等领域同城化待遇，提升居民获得感。实施生态环境联防联治，与阜新、铁岭及内蒙古等周边地区逐步建立辽宁西北生态屏障修复区以及辽河、卧龙湖流域跨区域保护机制，打造辽北生态保护共同体。深化产业合作，</w:t>
      </w:r>
      <w:r>
        <w:rPr>
          <w:rFonts w:cs="仿宋_GB2312"/>
          <w:szCs w:val="32"/>
        </w:rPr>
        <w:t>加强与</w:t>
      </w:r>
      <w:bookmarkStart w:id="254" w:name="OLE_LINK153"/>
      <w:r>
        <w:rPr>
          <w:rFonts w:cs="仿宋_GB2312"/>
          <w:szCs w:val="32"/>
        </w:rPr>
        <w:t>中德（沈阳）高端装备制造产业园</w:t>
      </w:r>
      <w:r>
        <w:rPr>
          <w:rFonts w:hint="eastAsia" w:cs="仿宋_GB2312"/>
          <w:szCs w:val="32"/>
        </w:rPr>
        <w:t>、中国（辽宁）自由贸易试验区</w:t>
      </w:r>
      <w:r>
        <w:rPr>
          <w:rFonts w:cs="仿宋_GB2312"/>
          <w:szCs w:val="32"/>
        </w:rPr>
        <w:t>沈阳片区</w:t>
      </w:r>
      <w:bookmarkEnd w:id="254"/>
      <w:r>
        <w:rPr>
          <w:rFonts w:cs="仿宋_GB2312"/>
          <w:szCs w:val="32"/>
        </w:rPr>
        <w:t>等高能级开放平台对接，</w:t>
      </w:r>
      <w:bookmarkStart w:id="255" w:name="OLE_LINK154"/>
      <w:r>
        <w:rPr>
          <w:rFonts w:hint="eastAsia" w:cs="仿宋_GB2312"/>
          <w:szCs w:val="32"/>
        </w:rPr>
        <w:t>吸引企业在康平县设立生产基地与研发中心。</w:t>
      </w:r>
    </w:p>
    <w:p w14:paraId="31AECBAC">
      <w:pPr>
        <w:pStyle w:val="6"/>
        <w:ind w:firstLine="643"/>
        <w:jc w:val="both"/>
      </w:pPr>
      <w:bookmarkStart w:id="256" w:name="OLE_LINK210"/>
      <w:bookmarkStart w:id="257" w:name="OLE_LINK201"/>
      <w:r>
        <w:rPr>
          <w:rFonts w:hint="eastAsia"/>
          <w:b/>
        </w:rPr>
        <w:t>推动外资外贸扩量提质</w:t>
      </w:r>
      <w:bookmarkEnd w:id="256"/>
      <w:bookmarkEnd w:id="257"/>
      <w:r>
        <w:rPr>
          <w:rFonts w:hint="eastAsia"/>
          <w:b/>
        </w:rPr>
        <w:t>。</w:t>
      </w:r>
      <w:r>
        <w:rPr>
          <w:rFonts w:hint="eastAsia"/>
        </w:rPr>
        <w:t>加大吸引外资力度，主动参与高水平经济合作洽谈会及跨国招商活动，引导外资投向主导产业、科技研发、现代服务等领域。拓展对外贸易规模，积极组织企业参加广交会、进博会等展会，推动农产品、新材料产品出口。到2030年，力争实际利用外资达到4300万美元，外贸进出口总额达到6600万元。</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085D7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604B637D">
            <w:pPr>
              <w:pStyle w:val="25"/>
              <w:numPr>
                <w:ilvl w:val="0"/>
                <w:numId w:val="1"/>
              </w:numPr>
              <w:ind w:left="0" w:firstLine="0" w:firstLineChars="0"/>
              <w:jc w:val="center"/>
              <w:outlineLvl w:val="3"/>
              <w:rPr>
                <w:rFonts w:eastAsia="楷体"/>
                <w:b/>
                <w:sz w:val="28"/>
                <w:szCs w:val="28"/>
              </w:rPr>
            </w:pPr>
            <w:r>
              <w:rPr>
                <w:rFonts w:hint="eastAsia" w:eastAsia="楷体"/>
                <w:b/>
                <w:sz w:val="28"/>
                <w:szCs w:val="28"/>
              </w:rPr>
              <w:t>区域协调重点项目</w:t>
            </w:r>
          </w:p>
          <w:p w14:paraId="470243E7">
            <w:pPr>
              <w:spacing w:line="320" w:lineRule="exact"/>
              <w:ind w:firstLine="422"/>
              <w:rPr>
                <w:sz w:val="21"/>
                <w:szCs w:val="21"/>
              </w:rPr>
            </w:pPr>
            <w:r>
              <w:rPr>
                <w:b/>
                <w:sz w:val="21"/>
                <w:szCs w:val="21"/>
              </w:rPr>
              <w:t>1.</w:t>
            </w:r>
            <w:r>
              <w:rPr>
                <w:rFonts w:hint="eastAsia"/>
                <w:b/>
                <w:sz w:val="21"/>
                <w:szCs w:val="21"/>
              </w:rPr>
              <w:t>国铁“沈金铁路”项目。</w:t>
            </w:r>
            <w:r>
              <w:rPr>
                <w:rFonts w:hint="eastAsia"/>
                <w:sz w:val="21"/>
                <w:szCs w:val="21"/>
              </w:rPr>
              <w:t>正线全长约</w:t>
            </w:r>
            <w:r>
              <w:rPr>
                <w:sz w:val="21"/>
                <w:szCs w:val="21"/>
              </w:rPr>
              <w:t>196</w:t>
            </w:r>
            <w:r>
              <w:rPr>
                <w:rFonts w:hint="eastAsia"/>
                <w:sz w:val="21"/>
                <w:szCs w:val="21"/>
              </w:rPr>
              <w:t>公里。其中，康平段线路长度约</w:t>
            </w:r>
            <w:r>
              <w:rPr>
                <w:sz w:val="21"/>
                <w:szCs w:val="21"/>
              </w:rPr>
              <w:t>52</w:t>
            </w:r>
            <w:r>
              <w:rPr>
                <w:rFonts w:hint="eastAsia"/>
                <w:sz w:val="21"/>
                <w:szCs w:val="21"/>
              </w:rPr>
              <w:t>公里，桥隧比例</w:t>
            </w:r>
            <w:r>
              <w:rPr>
                <w:sz w:val="21"/>
                <w:szCs w:val="21"/>
              </w:rPr>
              <w:t>31%</w:t>
            </w:r>
            <w:r>
              <w:rPr>
                <w:rFonts w:hint="eastAsia"/>
                <w:sz w:val="21"/>
                <w:szCs w:val="21"/>
              </w:rPr>
              <w:t>，设车站</w:t>
            </w:r>
            <w:r>
              <w:rPr>
                <w:sz w:val="21"/>
                <w:szCs w:val="21"/>
              </w:rPr>
              <w:t>5</w:t>
            </w:r>
            <w:r>
              <w:rPr>
                <w:rFonts w:hint="eastAsia"/>
                <w:sz w:val="21"/>
                <w:szCs w:val="21"/>
              </w:rPr>
              <w:t>座。</w:t>
            </w:r>
          </w:p>
          <w:p w14:paraId="68E5CA25">
            <w:pPr>
              <w:spacing w:line="320" w:lineRule="exact"/>
              <w:ind w:firstLine="422"/>
              <w:rPr>
                <w:sz w:val="21"/>
                <w:szCs w:val="21"/>
              </w:rPr>
            </w:pPr>
            <w:r>
              <w:rPr>
                <w:b/>
                <w:sz w:val="21"/>
                <w:szCs w:val="21"/>
              </w:rPr>
              <w:t>2.</w:t>
            </w:r>
            <w:r>
              <w:rPr>
                <w:rFonts w:hint="eastAsia"/>
                <w:b/>
                <w:sz w:val="21"/>
                <w:szCs w:val="21"/>
              </w:rPr>
              <w:t>辽河特大桥项目</w:t>
            </w:r>
            <w:r>
              <w:rPr>
                <w:rFonts w:hint="cs"/>
                <w:b/>
                <w:sz w:val="21"/>
                <w:szCs w:val="21"/>
              </w:rPr>
              <w:t>—</w:t>
            </w:r>
            <w:r>
              <w:rPr>
                <w:rFonts w:hint="eastAsia"/>
                <w:b/>
                <w:sz w:val="21"/>
                <w:szCs w:val="21"/>
              </w:rPr>
              <w:t>省道西二线昌图县长发镇至康平县金家坨子村段。</w:t>
            </w:r>
            <w:r>
              <w:rPr>
                <w:rFonts w:hint="eastAsia"/>
                <w:sz w:val="21"/>
                <w:szCs w:val="21"/>
              </w:rPr>
              <w:t>新建辽河大桥一座，涉及康平境内引道建设等。</w:t>
            </w:r>
          </w:p>
          <w:p w14:paraId="10406496">
            <w:pPr>
              <w:spacing w:line="320" w:lineRule="exact"/>
              <w:ind w:firstLine="422"/>
              <w:rPr>
                <w:sz w:val="28"/>
              </w:rPr>
            </w:pPr>
            <w:r>
              <w:rPr>
                <w:b/>
                <w:sz w:val="21"/>
                <w:szCs w:val="21"/>
              </w:rPr>
              <w:t>3.</w:t>
            </w:r>
            <w:r>
              <w:rPr>
                <w:rFonts w:hint="eastAsia"/>
                <w:b/>
                <w:sz w:val="21"/>
                <w:szCs w:val="21"/>
              </w:rPr>
              <w:t>辽蒙大通道省级提级工程项目。</w:t>
            </w:r>
            <w:r>
              <w:rPr>
                <w:rFonts w:hint="eastAsia"/>
                <w:sz w:val="21"/>
                <w:szCs w:val="21"/>
              </w:rPr>
              <w:t>包括县道东五线、村道康高线、国道绥沈线、省道东张线、县道康小线等提级改造。</w:t>
            </w:r>
          </w:p>
        </w:tc>
      </w:tr>
      <w:bookmarkEnd w:id="255"/>
    </w:tbl>
    <w:p w14:paraId="128282F4">
      <w:pPr>
        <w:pStyle w:val="2"/>
        <w:tabs>
          <w:tab w:val="left" w:pos="2127"/>
        </w:tabs>
        <w:spacing w:before="217" w:after="217"/>
        <w:rPr>
          <w:b w:val="0"/>
          <w:bCs/>
        </w:rPr>
      </w:pPr>
      <w:bookmarkStart w:id="258" w:name="_Toc237336672"/>
      <w:r>
        <w:rPr>
          <w:rFonts w:hint="eastAsia"/>
          <w:b w:val="0"/>
          <w:bCs/>
        </w:rPr>
        <w:t>第七章</w:t>
      </w:r>
      <w:r>
        <w:rPr>
          <w:b w:val="0"/>
          <w:bCs/>
        </w:rPr>
        <w:t xml:space="preserve"> </w:t>
      </w:r>
      <w:r>
        <w:rPr>
          <w:rFonts w:hint="eastAsia"/>
          <w:b w:val="0"/>
          <w:bCs/>
        </w:rPr>
        <w:t>推进城市内涵式发展</w:t>
      </w:r>
      <w:r>
        <w:rPr>
          <w:b w:val="0"/>
          <w:bCs/>
        </w:rPr>
        <w:t xml:space="preserve"> </w:t>
      </w:r>
      <w:r>
        <w:rPr>
          <w:rFonts w:hint="eastAsia"/>
          <w:b w:val="0"/>
          <w:bCs/>
        </w:rPr>
        <w:t>建设现代化人民城市</w:t>
      </w:r>
      <w:bookmarkEnd w:id="258"/>
    </w:p>
    <w:p w14:paraId="635B9E16">
      <w:pPr>
        <w:ind w:firstLine="640"/>
      </w:pPr>
      <w:r>
        <w:rPr>
          <w:rFonts w:hint="eastAsia"/>
        </w:rPr>
        <w:t>以城市更新为重要抓手，增强各类基础设施支撑保障作用，以智慧化、精细化为手段，持续提升城市品质，现代化人民城市建设取得重要进展。</w:t>
      </w:r>
    </w:p>
    <w:p w14:paraId="7E3C71AE">
      <w:pPr>
        <w:pStyle w:val="3"/>
        <w:spacing w:before="217" w:after="217"/>
      </w:pPr>
      <w:bookmarkStart w:id="259" w:name="_Toc237336673"/>
      <w:r>
        <w:rPr>
          <w:rFonts w:hint="eastAsia"/>
        </w:rPr>
        <w:t>第一节 优化城市结构和功能布局</w:t>
      </w:r>
      <w:bookmarkEnd w:id="259"/>
    </w:p>
    <w:p w14:paraId="2BEB7B39">
      <w:pPr>
        <w:ind w:firstLine="643"/>
      </w:pPr>
      <w:r>
        <w:rPr>
          <w:rFonts w:hint="eastAsia"/>
          <w:b/>
        </w:rPr>
        <w:t>优化城市空间结构。</w:t>
      </w:r>
      <w:r>
        <w:rPr>
          <w:rFonts w:hint="eastAsia"/>
        </w:rPr>
        <w:t>依托顺山路、中心街、迎宾路、滨湖二街形成四条城市发展轴，整体</w:t>
      </w:r>
      <w:r>
        <w:t>构建</w:t>
      </w:r>
      <w:r>
        <w:rPr>
          <w:rFonts w:hint="eastAsia"/>
        </w:rPr>
        <w:t>“</w:t>
      </w:r>
      <w:r>
        <w:t>一带双核</w:t>
      </w:r>
      <w:r>
        <w:rPr>
          <w:rFonts w:hint="eastAsia"/>
        </w:rPr>
        <w:t>、</w:t>
      </w:r>
      <w:r>
        <w:t>湖城共融</w:t>
      </w:r>
      <w:r>
        <w:rPr>
          <w:rFonts w:hint="eastAsia"/>
        </w:rPr>
        <w:t>”</w:t>
      </w:r>
      <w:r>
        <w:t>的</w:t>
      </w:r>
      <w:r>
        <w:rPr>
          <w:rFonts w:hint="eastAsia"/>
        </w:rPr>
        <w:t>城市</w:t>
      </w:r>
      <w:r>
        <w:t>空间结构。滨湖生态景观带</w:t>
      </w:r>
      <w:r>
        <w:rPr>
          <w:rFonts w:hint="eastAsia"/>
        </w:rPr>
        <w:t>以</w:t>
      </w:r>
      <w:r>
        <w:t>卧龙湖</w:t>
      </w:r>
      <w:r>
        <w:rPr>
          <w:rFonts w:hint="eastAsia"/>
        </w:rPr>
        <w:t>生态保护为基础</w:t>
      </w:r>
      <w:r>
        <w:t>，</w:t>
      </w:r>
      <w:r>
        <w:rPr>
          <w:rFonts w:hint="eastAsia"/>
        </w:rPr>
        <w:t>不断完善</w:t>
      </w:r>
      <w:r>
        <w:t>卧龙湖</w:t>
      </w:r>
      <w:r>
        <w:rPr>
          <w:rFonts w:hint="eastAsia"/>
        </w:rPr>
        <w:t>沿线</w:t>
      </w:r>
      <w:r>
        <w:t>文</w:t>
      </w:r>
      <w:r>
        <w:rPr>
          <w:rFonts w:hint="eastAsia"/>
        </w:rPr>
        <w:t>体</w:t>
      </w:r>
      <w:r>
        <w:t>旅等</w:t>
      </w:r>
      <w:r>
        <w:rPr>
          <w:rFonts w:hint="eastAsia"/>
        </w:rPr>
        <w:t>综合</w:t>
      </w:r>
      <w:r>
        <w:t>服务功能</w:t>
      </w:r>
      <w:r>
        <w:rPr>
          <w:rFonts w:hint="eastAsia"/>
        </w:rPr>
        <w:t>。</w:t>
      </w:r>
      <w:r>
        <w:t>老城生活核</w:t>
      </w:r>
      <w:r>
        <w:rPr>
          <w:rFonts w:hint="eastAsia"/>
        </w:rPr>
        <w:t>以</w:t>
      </w:r>
      <w:r>
        <w:t>顺山路与中心街交汇区域</w:t>
      </w:r>
      <w:r>
        <w:rPr>
          <w:rFonts w:hint="eastAsia"/>
        </w:rPr>
        <w:t>为核心，</w:t>
      </w:r>
      <w:r>
        <w:t>重点实施城市更新</w:t>
      </w:r>
      <w:r>
        <w:rPr>
          <w:rFonts w:hint="eastAsia"/>
        </w:rPr>
        <w:t>、补齐功能短板。</w:t>
      </w:r>
      <w:r>
        <w:t>新城发展核</w:t>
      </w:r>
      <w:r>
        <w:rPr>
          <w:rFonts w:hint="eastAsia"/>
        </w:rPr>
        <w:t>以</w:t>
      </w:r>
      <w:r>
        <w:t>县政府与中央公园</w:t>
      </w:r>
      <w:r>
        <w:rPr>
          <w:rFonts w:hint="eastAsia"/>
        </w:rPr>
        <w:t>周边</w:t>
      </w:r>
      <w:r>
        <w:t>区域</w:t>
      </w:r>
      <w:r>
        <w:rPr>
          <w:rFonts w:hint="eastAsia"/>
        </w:rPr>
        <w:t>为核心，</w:t>
      </w:r>
      <w:r>
        <w:t>重点布局</w:t>
      </w:r>
      <w:r>
        <w:rPr>
          <w:rFonts w:hint="eastAsia"/>
        </w:rPr>
        <w:t>政务服务、文体旅服务等。湖城共融</w:t>
      </w:r>
      <w:r>
        <w:t>打造城伴湖畔、湖城合一的</w:t>
      </w:r>
      <w:r>
        <w:rPr>
          <w:rFonts w:hint="eastAsia"/>
        </w:rPr>
        <w:t>滨湖特色城市</w:t>
      </w:r>
      <w:r>
        <w:t>空间</w:t>
      </w:r>
      <w:r>
        <w:rPr>
          <w:rFonts w:hint="eastAsia"/>
        </w:rPr>
        <w:t>。</w:t>
      </w:r>
    </w:p>
    <w:p w14:paraId="3C8746CA">
      <w:pPr>
        <w:ind w:firstLine="643"/>
      </w:pPr>
      <w:r>
        <w:rPr>
          <w:rFonts w:hint="eastAsia"/>
          <w:b/>
        </w:rPr>
        <w:t>提升城市核心功能。</w:t>
      </w:r>
      <w:r>
        <w:rPr>
          <w:rFonts w:hint="eastAsia"/>
        </w:rPr>
        <w:t>加快</w:t>
      </w:r>
      <w:bookmarkStart w:id="260" w:name="OLE_LINK202"/>
      <w:r>
        <w:rPr>
          <w:rFonts w:hint="eastAsia"/>
        </w:rPr>
        <w:t>卧龙湖核心板块</w:t>
      </w:r>
      <w:bookmarkEnd w:id="260"/>
      <w:r>
        <w:rPr>
          <w:rFonts w:hint="eastAsia"/>
        </w:rPr>
        <w:t>建设，重点布局文化展示、休闲康养、</w:t>
      </w:r>
      <w:bookmarkStart w:id="261" w:name="OLE_LINK206"/>
      <w:r>
        <w:rPr>
          <w:rFonts w:hint="eastAsia"/>
        </w:rPr>
        <w:t>品质住区</w:t>
      </w:r>
      <w:bookmarkEnd w:id="261"/>
      <w:r>
        <w:rPr>
          <w:rFonts w:hint="eastAsia"/>
        </w:rPr>
        <w:t>、</w:t>
      </w:r>
      <w:bookmarkStart w:id="262" w:name="OLE_LINK208"/>
      <w:bookmarkStart w:id="263" w:name="OLE_LINK207"/>
      <w:r>
        <w:rPr>
          <w:rFonts w:hint="eastAsia"/>
        </w:rPr>
        <w:t>商住办公</w:t>
      </w:r>
      <w:bookmarkEnd w:id="262"/>
      <w:bookmarkEnd w:id="263"/>
      <w:r>
        <w:rPr>
          <w:rFonts w:hint="eastAsia"/>
        </w:rPr>
        <w:t>等四大功能，打造滨湖康养家园和文旅休闲港湾。</w:t>
      </w:r>
      <w:bookmarkStart w:id="264" w:name="OLE_LINK203"/>
      <w:bookmarkStart w:id="265" w:name="OLE_LINK205"/>
      <w:r>
        <w:rPr>
          <w:rFonts w:hint="eastAsia"/>
        </w:rPr>
        <w:t>推进卧龙湖环湖经济带</w:t>
      </w:r>
      <w:bookmarkEnd w:id="264"/>
      <w:bookmarkEnd w:id="265"/>
      <w:r>
        <w:rPr>
          <w:rFonts w:hint="eastAsia"/>
        </w:rPr>
        <w:t>建设，植入旅游度假、特色民宿、体育培训、垂钓采摘等多元业态，深化湖岛协同发展，打造城市会客厅。老城区持续提升服务能级，合理布局居住空间、商业空间、绿化空间、公共服务空间等，推动老城区焕发新活力，打造具有区域影响力的服务中心。以康平监狱易址搬迁为契机，加快完善中心城区南部服务业配套功能，推动东关街道融入中心城区一体化发展。</w:t>
      </w:r>
    </w:p>
    <w:p w14:paraId="1270E0DD">
      <w:pPr>
        <w:pStyle w:val="3"/>
        <w:spacing w:before="217" w:after="217"/>
      </w:pPr>
      <w:bookmarkStart w:id="266" w:name="_Toc237336674"/>
      <w:r>
        <w:rPr>
          <w:rFonts w:hint="eastAsia"/>
        </w:rPr>
        <w:t>第二节</w:t>
      </w:r>
      <w:r>
        <w:t xml:space="preserve"> </w:t>
      </w:r>
      <w:r>
        <w:rPr>
          <w:rFonts w:hint="eastAsia"/>
        </w:rPr>
        <w:t>持续开展城市更新</w:t>
      </w:r>
      <w:bookmarkEnd w:id="266"/>
    </w:p>
    <w:p w14:paraId="1F781AAE">
      <w:pPr>
        <w:ind w:firstLine="643"/>
      </w:pPr>
      <w:r>
        <w:rPr>
          <w:rFonts w:hint="eastAsia"/>
          <w:b/>
        </w:rPr>
        <w:t>提升地下管网安全水平。</w:t>
      </w:r>
      <w:r>
        <w:rPr>
          <w:rFonts w:hint="eastAsia"/>
        </w:rPr>
        <w:t>加快地下管线管网改造，统筹推进燃气、供热、供水、雨水、污水等老旧管网改造，实施“瓶改管”、市街老旧供水管网更新改造工程，推进开发区雨水、污水管道提升等项目建设。积极开展空中飞线整治，有序推进强弱电线路入地改造。</w:t>
      </w:r>
    </w:p>
    <w:p w14:paraId="5D15AE28">
      <w:pPr>
        <w:ind w:firstLine="643"/>
      </w:pPr>
      <w:bookmarkStart w:id="267" w:name="OLE_LINK21"/>
      <w:r>
        <w:rPr>
          <w:rFonts w:hint="eastAsia"/>
          <w:b/>
          <w:bCs/>
        </w:rPr>
        <w:t>全面实施老旧小区改造</w:t>
      </w:r>
      <w:bookmarkEnd w:id="267"/>
      <w:r>
        <w:rPr>
          <w:rFonts w:hint="eastAsia"/>
          <w:b/>
          <w:bCs/>
        </w:rPr>
        <w:t>。</w:t>
      </w:r>
      <w:r>
        <w:rPr>
          <w:rFonts w:hint="eastAsia"/>
        </w:rPr>
        <w:t>提升居住环境，大力开展房屋本体修缮、公共环境改造行动。</w:t>
      </w:r>
      <w:bookmarkStart w:id="268" w:name="OLE_LINK29"/>
      <w:bookmarkStart w:id="269" w:name="OLE_LINK33"/>
      <w:r>
        <w:rPr>
          <w:rFonts w:hint="eastAsia"/>
        </w:rPr>
        <w:t>改善设施条件</w:t>
      </w:r>
      <w:bookmarkEnd w:id="268"/>
      <w:bookmarkEnd w:id="269"/>
      <w:r>
        <w:rPr>
          <w:rFonts w:hint="eastAsia"/>
        </w:rPr>
        <w:t>，持续完善小区停车、充电、通信、入户供水等配套基础设施。消除安全隐患，全面做好</w:t>
      </w:r>
      <w:bookmarkStart w:id="270" w:name="OLE_LINK34"/>
      <w:bookmarkStart w:id="271" w:name="OLE_LINK35"/>
      <w:r>
        <w:rPr>
          <w:rFonts w:hint="eastAsia"/>
        </w:rPr>
        <w:t>小区内消防设施维护、</w:t>
      </w:r>
      <w:bookmarkEnd w:id="270"/>
      <w:bookmarkEnd w:id="271"/>
      <w:r>
        <w:rPr>
          <w:rFonts w:hint="eastAsia"/>
        </w:rPr>
        <w:t>老化管线改造。提升居住功能品质，加快推动“好房子”建设，逐步打造完整社区。</w:t>
      </w:r>
    </w:p>
    <w:p w14:paraId="1A04C8C0">
      <w:pPr>
        <w:ind w:firstLine="643"/>
      </w:pPr>
      <w:r>
        <w:rPr>
          <w:rFonts w:hint="eastAsia"/>
          <w:b/>
          <w:bCs/>
        </w:rPr>
        <w:t>完善城市公共空间功能。</w:t>
      </w:r>
      <w:r>
        <w:rPr>
          <w:rFonts w:hint="eastAsia"/>
        </w:rPr>
        <w:t>实施城市“微更新”，在城市内部边角地、零星地增加公共空间、公共服务设施。优先补齐公共服务设施短板，加强无障碍设施建设。推动城市空间向苏家岗等周边拓展，同步将供水、供暖、供气、道路等纳入城区规划、建设和管理。</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598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4FEC0D01">
            <w:pPr>
              <w:pStyle w:val="25"/>
              <w:numPr>
                <w:ilvl w:val="0"/>
                <w:numId w:val="1"/>
              </w:numPr>
              <w:ind w:left="0" w:firstLine="0" w:firstLineChars="0"/>
              <w:jc w:val="center"/>
              <w:outlineLvl w:val="3"/>
              <w:rPr>
                <w:rFonts w:eastAsia="楷体"/>
                <w:b/>
                <w:sz w:val="28"/>
                <w:szCs w:val="28"/>
              </w:rPr>
            </w:pPr>
            <w:r>
              <w:rPr>
                <w:rFonts w:hint="eastAsia" w:eastAsia="楷体"/>
                <w:b/>
                <w:sz w:val="28"/>
                <w:szCs w:val="28"/>
              </w:rPr>
              <w:t>城市更新重点项目</w:t>
            </w:r>
          </w:p>
          <w:p w14:paraId="5896D26A">
            <w:pPr>
              <w:spacing w:line="320" w:lineRule="exact"/>
              <w:ind w:firstLine="422"/>
              <w:rPr>
                <w:bCs/>
                <w:sz w:val="21"/>
                <w:szCs w:val="21"/>
              </w:rPr>
            </w:pPr>
            <w:r>
              <w:rPr>
                <w:b/>
                <w:sz w:val="21"/>
                <w:szCs w:val="21"/>
              </w:rPr>
              <w:t>1.</w:t>
            </w:r>
            <w:r>
              <w:rPr>
                <w:rFonts w:hint="eastAsia"/>
                <w:b/>
                <w:sz w:val="21"/>
                <w:szCs w:val="21"/>
              </w:rPr>
              <w:t>燃气地下管网及居民瓶改管更新改造项目。</w:t>
            </w:r>
            <w:r>
              <w:rPr>
                <w:rFonts w:hint="eastAsia"/>
                <w:bCs/>
                <w:sz w:val="21"/>
                <w:szCs w:val="21"/>
              </w:rPr>
              <w:t>实施“瓶改管”改造工程、液化石油气用户安全设施改造工程、燃气泄漏监测设备新建工程。</w:t>
            </w:r>
          </w:p>
          <w:p w14:paraId="0AC5494E">
            <w:pPr>
              <w:spacing w:line="320" w:lineRule="exact"/>
              <w:ind w:firstLine="422"/>
              <w:rPr>
                <w:bCs/>
                <w:sz w:val="21"/>
                <w:szCs w:val="21"/>
              </w:rPr>
            </w:pPr>
            <w:r>
              <w:rPr>
                <w:b/>
                <w:sz w:val="21"/>
                <w:szCs w:val="21"/>
              </w:rPr>
              <w:t>2.</w:t>
            </w:r>
            <w:r>
              <w:rPr>
                <w:rFonts w:hint="eastAsia"/>
                <w:b/>
                <w:sz w:val="21"/>
                <w:szCs w:val="21"/>
              </w:rPr>
              <w:t>老旧小区提升改造项目。</w:t>
            </w:r>
            <w:r>
              <w:rPr>
                <w:rFonts w:hint="eastAsia"/>
                <w:bCs/>
                <w:sz w:val="21"/>
                <w:szCs w:val="21"/>
              </w:rPr>
              <w:t>提升改造老旧小区楼本体、燃气躺立杠管道、雨污管道等。</w:t>
            </w:r>
          </w:p>
          <w:p w14:paraId="2D4EEE2B">
            <w:pPr>
              <w:spacing w:line="320" w:lineRule="exact"/>
              <w:ind w:firstLine="422"/>
              <w:rPr>
                <w:bCs/>
                <w:sz w:val="21"/>
                <w:szCs w:val="21"/>
              </w:rPr>
            </w:pPr>
            <w:r>
              <w:rPr>
                <w:rFonts w:hint="eastAsia"/>
                <w:b/>
                <w:sz w:val="21"/>
                <w:szCs w:val="21"/>
              </w:rPr>
              <w:t>3</w:t>
            </w:r>
            <w:r>
              <w:rPr>
                <w:b/>
                <w:sz w:val="21"/>
                <w:szCs w:val="21"/>
              </w:rPr>
              <w:t>.</w:t>
            </w:r>
            <w:r>
              <w:rPr>
                <w:rFonts w:hint="eastAsia"/>
                <w:b/>
                <w:sz w:val="21"/>
                <w:szCs w:val="21"/>
              </w:rPr>
              <w:t>市街老旧供水管网更新改造工程项目。</w:t>
            </w:r>
            <w:r>
              <w:rPr>
                <w:rFonts w:hint="eastAsia"/>
                <w:bCs/>
                <w:sz w:val="21"/>
                <w:szCs w:val="21"/>
              </w:rPr>
              <w:t>推进城区供水管网升级改造，更换原有市街老旧供水管网，解决供水管网老化、水压不足、水质隐患等问题。</w:t>
            </w:r>
          </w:p>
          <w:p w14:paraId="7C99FA1F">
            <w:pPr>
              <w:spacing w:line="320" w:lineRule="exact"/>
              <w:ind w:firstLine="422"/>
              <w:rPr>
                <w:bCs/>
                <w:sz w:val="21"/>
                <w:szCs w:val="21"/>
              </w:rPr>
            </w:pPr>
            <w:r>
              <w:rPr>
                <w:rFonts w:hint="eastAsia"/>
                <w:b/>
                <w:bCs/>
                <w:sz w:val="21"/>
                <w:szCs w:val="21"/>
              </w:rPr>
              <w:t>4</w:t>
            </w:r>
            <w:r>
              <w:rPr>
                <w:b/>
                <w:bCs/>
                <w:sz w:val="21"/>
                <w:szCs w:val="21"/>
              </w:rPr>
              <w:t>.</w:t>
            </w:r>
            <w:r>
              <w:rPr>
                <w:rFonts w:hint="eastAsia"/>
                <w:b/>
                <w:bCs/>
                <w:sz w:val="21"/>
                <w:szCs w:val="21"/>
              </w:rPr>
              <w:t>城区供水管网漏损治理工程</w:t>
            </w:r>
            <w:r>
              <w:rPr>
                <w:rFonts w:hint="eastAsia"/>
                <w:b/>
                <w:sz w:val="21"/>
                <w:szCs w:val="21"/>
              </w:rPr>
              <w:t>项目</w:t>
            </w:r>
            <w:r>
              <w:rPr>
                <w:rFonts w:hint="eastAsia"/>
                <w:b/>
                <w:bCs/>
                <w:sz w:val="21"/>
                <w:szCs w:val="21"/>
              </w:rPr>
              <w:t>。</w:t>
            </w:r>
            <w:r>
              <w:rPr>
                <w:rFonts w:hint="eastAsia"/>
                <w:bCs/>
                <w:sz w:val="21"/>
                <w:szCs w:val="21"/>
              </w:rPr>
              <w:t>对泵站进行功能升级改造，安装远传水表、分区计量表、阀门等；建设智慧水务平台及二次加压泵站远传接收设备；铺设给水管线，满足城区周边供水需求。</w:t>
            </w:r>
          </w:p>
          <w:p w14:paraId="6AFDFC87">
            <w:pPr>
              <w:spacing w:line="320" w:lineRule="exact"/>
              <w:ind w:firstLine="422"/>
              <w:rPr>
                <w:bCs/>
                <w:sz w:val="21"/>
                <w:szCs w:val="21"/>
              </w:rPr>
            </w:pPr>
            <w:r>
              <w:rPr>
                <w:rFonts w:hint="eastAsia"/>
                <w:b/>
                <w:bCs/>
                <w:sz w:val="21"/>
                <w:szCs w:val="21"/>
              </w:rPr>
              <w:t>5</w:t>
            </w:r>
            <w:r>
              <w:rPr>
                <w:b/>
                <w:bCs/>
                <w:sz w:val="21"/>
                <w:szCs w:val="21"/>
              </w:rPr>
              <w:t>.</w:t>
            </w:r>
            <w:r>
              <w:rPr>
                <w:rFonts w:hint="eastAsia"/>
                <w:b/>
                <w:bCs/>
                <w:sz w:val="21"/>
                <w:szCs w:val="21"/>
              </w:rPr>
              <w:t>小区自来水入户接驳项目。</w:t>
            </w:r>
            <w:r>
              <w:rPr>
                <w:rFonts w:hint="eastAsia"/>
                <w:bCs/>
                <w:sz w:val="21"/>
                <w:szCs w:val="21"/>
              </w:rPr>
              <w:t>对辽西北供水配套工程（康平县）管网工程涉及的小区躺立杠实施入户接驳。</w:t>
            </w:r>
          </w:p>
          <w:p w14:paraId="12761389">
            <w:pPr>
              <w:spacing w:line="320" w:lineRule="exact"/>
              <w:ind w:firstLine="422"/>
              <w:rPr>
                <w:sz w:val="21"/>
                <w:szCs w:val="21"/>
              </w:rPr>
            </w:pPr>
            <w:r>
              <w:rPr>
                <w:b/>
                <w:sz w:val="21"/>
                <w:szCs w:val="21"/>
              </w:rPr>
              <w:t>6.</w:t>
            </w:r>
            <w:r>
              <w:rPr>
                <w:rFonts w:hint="eastAsia"/>
                <w:b/>
                <w:sz w:val="21"/>
                <w:szCs w:val="21"/>
              </w:rPr>
              <w:t>康平开发区塑编园及农产品园雨水主管道提升项目。</w:t>
            </w:r>
            <w:r>
              <w:rPr>
                <w:rFonts w:hint="eastAsia"/>
                <w:sz w:val="21"/>
                <w:szCs w:val="21"/>
              </w:rPr>
              <w:t>改造提升园区雨水主管道及检查井。</w:t>
            </w:r>
          </w:p>
          <w:p w14:paraId="0D5ECEAF">
            <w:pPr>
              <w:spacing w:line="320" w:lineRule="exact"/>
              <w:ind w:firstLine="422"/>
              <w:rPr>
                <w:bCs/>
                <w:sz w:val="21"/>
                <w:szCs w:val="21"/>
              </w:rPr>
            </w:pPr>
            <w:r>
              <w:rPr>
                <w:b/>
                <w:sz w:val="21"/>
                <w:szCs w:val="21"/>
              </w:rPr>
              <w:t>7.</w:t>
            </w:r>
            <w:r>
              <w:rPr>
                <w:rFonts w:hint="eastAsia"/>
                <w:b/>
                <w:bCs/>
                <w:sz w:val="21"/>
                <w:szCs w:val="21"/>
              </w:rPr>
              <w:t>康平开发区塑编园及农产品园污水管道提升项目。</w:t>
            </w:r>
            <w:r>
              <w:rPr>
                <w:rFonts w:hint="eastAsia"/>
                <w:bCs/>
                <w:sz w:val="21"/>
                <w:szCs w:val="21"/>
              </w:rPr>
              <w:t>对塑编园及农产品园等各街路污水管道进行改造，提升园区污水排放能力。</w:t>
            </w:r>
          </w:p>
          <w:p w14:paraId="50DCFF17">
            <w:pPr>
              <w:spacing w:line="320" w:lineRule="exact"/>
              <w:ind w:firstLine="422"/>
              <w:rPr>
                <w:sz w:val="21"/>
                <w:szCs w:val="21"/>
              </w:rPr>
            </w:pPr>
            <w:r>
              <w:rPr>
                <w:b/>
                <w:sz w:val="21"/>
                <w:szCs w:val="21"/>
              </w:rPr>
              <w:t>8.</w:t>
            </w:r>
            <w:r>
              <w:rPr>
                <w:rFonts w:hint="eastAsia"/>
                <w:b/>
                <w:sz w:val="21"/>
                <w:szCs w:val="21"/>
              </w:rPr>
              <w:t>康平开发区污水管网及设施更新改造工程项目。</w:t>
            </w:r>
            <w:r>
              <w:rPr>
                <w:rFonts w:hint="eastAsia"/>
                <w:sz w:val="21"/>
                <w:szCs w:val="21"/>
              </w:rPr>
              <w:t>新建污水管线，维修改造泵房，更换回转式格栅除污机及潜污泵。</w:t>
            </w:r>
          </w:p>
          <w:p w14:paraId="43DC1D8E">
            <w:pPr>
              <w:spacing w:line="320" w:lineRule="exact"/>
              <w:ind w:firstLine="422"/>
              <w:rPr>
                <w:sz w:val="21"/>
                <w:szCs w:val="21"/>
              </w:rPr>
            </w:pPr>
            <w:r>
              <w:rPr>
                <w:b/>
                <w:sz w:val="21"/>
                <w:szCs w:val="21"/>
              </w:rPr>
              <w:t>9.</w:t>
            </w:r>
            <w:r>
              <w:rPr>
                <w:rFonts w:hint="eastAsia"/>
                <w:b/>
                <w:sz w:val="21"/>
                <w:szCs w:val="21"/>
              </w:rPr>
              <w:t>孔家污水处理厂调节池建设项目。</w:t>
            </w:r>
            <w:r>
              <w:rPr>
                <w:rFonts w:hint="eastAsia"/>
                <w:sz w:val="21"/>
                <w:szCs w:val="21"/>
              </w:rPr>
              <w:t>新建事故调节池，主要建设内容包括事故调节池、离子除臭系统、配套管道、仪表、电缆等。</w:t>
            </w:r>
          </w:p>
          <w:p w14:paraId="7A28228A">
            <w:pPr>
              <w:spacing w:line="320" w:lineRule="exact"/>
              <w:ind w:firstLine="422"/>
              <w:rPr>
                <w:bCs/>
                <w:sz w:val="21"/>
                <w:szCs w:val="21"/>
              </w:rPr>
            </w:pPr>
            <w:r>
              <w:rPr>
                <w:b/>
                <w:sz w:val="21"/>
                <w:szCs w:val="21"/>
              </w:rPr>
              <w:t>10.</w:t>
            </w:r>
            <w:r>
              <w:rPr>
                <w:rFonts w:hint="eastAsia"/>
                <w:b/>
                <w:sz w:val="21"/>
                <w:szCs w:val="21"/>
              </w:rPr>
              <w:t>滨湖文化广场内设施更新项目。</w:t>
            </w:r>
            <w:r>
              <w:rPr>
                <w:rFonts w:hint="eastAsia"/>
                <w:bCs/>
                <w:sz w:val="21"/>
                <w:szCs w:val="21"/>
              </w:rPr>
              <w:t>对广场内的市政基础设施进行更新改造。</w:t>
            </w:r>
          </w:p>
          <w:p w14:paraId="6C8D2238">
            <w:pPr>
              <w:spacing w:line="320" w:lineRule="exact"/>
              <w:ind w:firstLine="422"/>
              <w:rPr>
                <w:bCs/>
                <w:sz w:val="21"/>
                <w:szCs w:val="21"/>
              </w:rPr>
            </w:pPr>
            <w:r>
              <w:rPr>
                <w:b/>
                <w:sz w:val="21"/>
                <w:szCs w:val="21"/>
              </w:rPr>
              <w:t>11.</w:t>
            </w:r>
            <w:r>
              <w:rPr>
                <w:rFonts w:hint="eastAsia"/>
                <w:b/>
                <w:bCs/>
                <w:sz w:val="21"/>
                <w:szCs w:val="21"/>
              </w:rPr>
              <w:t>房地产项目。</w:t>
            </w:r>
            <w:r>
              <w:rPr>
                <w:rFonts w:hint="eastAsia"/>
                <w:bCs/>
                <w:sz w:val="21"/>
                <w:szCs w:val="21"/>
              </w:rPr>
              <w:t>在老果园地块、马家窝堡地块、一中地块、向中路巡警地块等开发房地产项目。</w:t>
            </w:r>
          </w:p>
        </w:tc>
      </w:tr>
    </w:tbl>
    <w:p w14:paraId="06A243B9">
      <w:pPr>
        <w:pStyle w:val="3"/>
        <w:spacing w:before="217" w:after="217"/>
      </w:pPr>
      <w:bookmarkStart w:id="272" w:name="_Toc237336675"/>
      <w:r>
        <w:rPr>
          <w:rFonts w:hint="eastAsia"/>
        </w:rPr>
        <w:t>第三节</w:t>
      </w:r>
      <w:r>
        <w:t xml:space="preserve"> </w:t>
      </w:r>
      <w:r>
        <w:rPr>
          <w:rFonts w:hint="eastAsia"/>
        </w:rPr>
        <w:t>提升城市管理智慧化精细化水平</w:t>
      </w:r>
      <w:bookmarkEnd w:id="272"/>
    </w:p>
    <w:p w14:paraId="00F28444">
      <w:pPr>
        <w:ind w:firstLine="643"/>
      </w:pPr>
      <w:r>
        <w:rPr>
          <w:rFonts w:hint="eastAsia"/>
          <w:b/>
        </w:rPr>
        <w:t>强化城市管理数字赋能。</w:t>
      </w:r>
      <w:r>
        <w:rPr>
          <w:rFonts w:hint="eastAsia"/>
        </w:rPr>
        <w:t>构建“一个平台、多个功能模块、N个子系统”智慧城管信息化体系，搭建智能化水务平台及城镇燃气智慧监管与运行安全综合服务平台。推进道路智慧化改造，构建县级智慧道路管理平台，建成智慧交通系统。到</w:t>
      </w:r>
      <w:r>
        <w:t>2030</w:t>
      </w:r>
      <w:r>
        <w:rPr>
          <w:rFonts w:hint="eastAsia"/>
        </w:rPr>
        <w:t>年，实现国、省、县、乡、村五级公路重要节点智能感知设施全覆盖，路网运行监测覆盖率达</w:t>
      </w:r>
      <w:r>
        <w:t>60%</w:t>
      </w:r>
      <w:r>
        <w:rPr>
          <w:rFonts w:hint="eastAsia"/>
        </w:rPr>
        <w:t>以上。</w:t>
      </w:r>
    </w:p>
    <w:p w14:paraId="45E95A0D">
      <w:pPr>
        <w:ind w:firstLine="643"/>
      </w:pPr>
      <w:r>
        <w:rPr>
          <w:rFonts w:hint="eastAsia"/>
          <w:b/>
          <w:bCs/>
        </w:rPr>
        <w:t>开展市容市貌综合整治。</w:t>
      </w:r>
      <w:r>
        <w:rPr>
          <w:rFonts w:cs="仿宋_GB2312"/>
        </w:rPr>
        <w:t>高标准打造迎宾路、中心街、顺山路三条严管示范街，全面</w:t>
      </w:r>
      <w:r>
        <w:rPr>
          <w:rFonts w:hint="eastAsia" w:cs="仿宋_GB2312"/>
        </w:rPr>
        <w:t>建设</w:t>
      </w:r>
      <w:r>
        <w:rPr>
          <w:rFonts w:cs="仿宋_GB2312"/>
        </w:rPr>
        <w:t>辽街、金街、步行街等康平地域特色街</w:t>
      </w:r>
      <w:r>
        <w:rPr>
          <w:rFonts w:hint="eastAsia" w:cs="仿宋_GB2312"/>
        </w:rPr>
        <w:t>路</w:t>
      </w:r>
      <w:r>
        <w:rPr>
          <w:rFonts w:cs="仿宋_GB2312"/>
        </w:rPr>
        <w:t>。全面规范公共区域充电桩及建筑围挡等管理，完善</w:t>
      </w:r>
      <w:r>
        <w:rPr>
          <w:rFonts w:hint="eastAsia" w:cs="仿宋_GB2312"/>
        </w:rPr>
        <w:t>“</w:t>
      </w:r>
      <w:r>
        <w:rPr>
          <w:rFonts w:cs="仿宋_GB2312"/>
        </w:rPr>
        <w:t>环卫+执法</w:t>
      </w:r>
      <w:r>
        <w:rPr>
          <w:rFonts w:hint="eastAsia" w:cs="仿宋_GB2312"/>
        </w:rPr>
        <w:t>”</w:t>
      </w:r>
      <w:r>
        <w:rPr>
          <w:rFonts w:cs="仿宋_GB2312"/>
        </w:rPr>
        <w:t>联动机制，</w:t>
      </w:r>
      <w:r>
        <w:rPr>
          <w:rFonts w:hint="eastAsia" w:cs="仿宋_GB2312"/>
        </w:rPr>
        <w:t>实现“</w:t>
      </w:r>
      <w:r>
        <w:rPr>
          <w:rFonts w:cs="仿宋_GB2312"/>
        </w:rPr>
        <w:t>政府主导、企业运作、群众共治</w:t>
      </w:r>
      <w:r>
        <w:rPr>
          <w:rFonts w:hint="eastAsia" w:cs="仿宋_GB2312"/>
        </w:rPr>
        <w:t>”</w:t>
      </w:r>
      <w:r>
        <w:rPr>
          <w:rFonts w:cs="仿宋_GB2312"/>
        </w:rPr>
        <w:t>良好格局。</w:t>
      </w:r>
      <w:r>
        <w:rPr>
          <w:rFonts w:hint="eastAsia"/>
        </w:rPr>
        <w:t>到</w:t>
      </w:r>
      <w:r>
        <w:t>2030</w:t>
      </w:r>
      <w:r>
        <w:rPr>
          <w:rFonts w:hint="eastAsia"/>
        </w:rPr>
        <w:t>年，路面洁净度达到</w:t>
      </w:r>
      <w:r>
        <w:t>98%</w:t>
      </w:r>
      <w:r>
        <w:rPr>
          <w:rFonts w:hint="eastAsia"/>
        </w:rPr>
        <w:t>以上</w:t>
      </w:r>
      <w:r>
        <w:rPr>
          <w:rFonts w:hint="eastAsia" w:cs="仿宋_GB2312"/>
        </w:rPr>
        <w:t>。</w:t>
      </w:r>
    </w:p>
    <w:p w14:paraId="450C7011">
      <w:pPr>
        <w:ind w:firstLine="643"/>
        <w:rPr>
          <w:bCs/>
        </w:rPr>
      </w:pPr>
      <w:r>
        <w:rPr>
          <w:rFonts w:hint="eastAsia"/>
          <w:b/>
          <w:bCs/>
        </w:rPr>
        <w:t>推进绿化亮化品质建设。</w:t>
      </w:r>
      <w:r>
        <w:rPr>
          <w:rFonts w:hint="eastAsia"/>
        </w:rPr>
        <w:t>加强中央公园、滨湖广场公园、森林公园等现有公园品质提升，增加公园广场内高负氧离子绿植配置，提升管理效率和服务水平。依托人民广场、腾龙阁等景观节点，强化景观照明设施运行保障能力，高标准打造夜景组团。到</w:t>
      </w:r>
      <w:r>
        <w:t>2030</w:t>
      </w:r>
      <w:r>
        <w:rPr>
          <w:rFonts w:hint="eastAsia"/>
        </w:rPr>
        <w:t>年，口袋公园达到</w:t>
      </w:r>
      <w:r>
        <w:t>15</w:t>
      </w:r>
      <w:r>
        <w:rPr>
          <w:rFonts w:hint="eastAsia"/>
        </w:rPr>
        <w:t>个，公园服务半径覆盖率达到</w:t>
      </w:r>
      <w:r>
        <w:t>80%</w:t>
      </w:r>
      <w:r>
        <w:rPr>
          <w:rFonts w:hint="eastAsia"/>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7175D4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6948BB7">
            <w:pPr>
              <w:pStyle w:val="25"/>
              <w:numPr>
                <w:ilvl w:val="0"/>
                <w:numId w:val="1"/>
              </w:numPr>
              <w:ind w:left="0" w:firstLine="0" w:firstLineChars="0"/>
              <w:jc w:val="center"/>
              <w:outlineLvl w:val="3"/>
              <w:rPr>
                <w:rFonts w:eastAsia="楷体"/>
                <w:b/>
                <w:sz w:val="28"/>
                <w:szCs w:val="28"/>
              </w:rPr>
            </w:pPr>
            <w:r>
              <w:rPr>
                <w:rFonts w:hint="eastAsia" w:eastAsia="楷体"/>
                <w:b/>
                <w:sz w:val="28"/>
                <w:szCs w:val="28"/>
              </w:rPr>
              <w:t>智慧城市建设重点项目</w:t>
            </w:r>
          </w:p>
          <w:p w14:paraId="01421554">
            <w:pPr>
              <w:spacing w:line="320" w:lineRule="exact"/>
              <w:ind w:firstLine="422"/>
              <w:rPr>
                <w:bCs/>
                <w:sz w:val="21"/>
                <w:szCs w:val="21"/>
              </w:rPr>
            </w:pPr>
            <w:r>
              <w:rPr>
                <w:b/>
                <w:sz w:val="21"/>
                <w:szCs w:val="21"/>
              </w:rPr>
              <w:t>1.</w:t>
            </w:r>
            <w:r>
              <w:rPr>
                <w:rFonts w:hint="eastAsia"/>
                <w:b/>
                <w:sz w:val="21"/>
                <w:szCs w:val="21"/>
              </w:rPr>
              <w:t>智能水务给水系统改造工程项目。</w:t>
            </w:r>
            <w:r>
              <w:rPr>
                <w:rFonts w:hint="eastAsia"/>
                <w:bCs/>
                <w:sz w:val="21"/>
                <w:szCs w:val="21"/>
              </w:rPr>
              <w:t>新建分区阀门、分区计量表，建设智能化水务平台。</w:t>
            </w:r>
          </w:p>
          <w:p w14:paraId="2782D8D8">
            <w:pPr>
              <w:spacing w:line="320" w:lineRule="exact"/>
              <w:ind w:firstLine="422"/>
              <w:rPr>
                <w:bCs/>
                <w:sz w:val="21"/>
                <w:szCs w:val="21"/>
              </w:rPr>
            </w:pPr>
            <w:r>
              <w:rPr>
                <w:b/>
                <w:bCs/>
                <w:sz w:val="21"/>
                <w:szCs w:val="21"/>
              </w:rPr>
              <w:t>2.</w:t>
            </w:r>
            <w:r>
              <w:rPr>
                <w:rFonts w:hint="eastAsia"/>
                <w:b/>
                <w:bCs/>
                <w:sz w:val="21"/>
                <w:szCs w:val="21"/>
              </w:rPr>
              <w:t>康平县城镇燃气智慧监管与运行安全综合服务平台项目。</w:t>
            </w:r>
            <w:r>
              <w:rPr>
                <w:rFonts w:hint="eastAsia"/>
                <w:bCs/>
                <w:sz w:val="21"/>
                <w:szCs w:val="21"/>
              </w:rPr>
              <w:t>建设内容包括对康平县管道气企业、液化气经营企业、汽车加气站经营企业、液化气燃气用户，从燃气用户实名制建档、签订电子供气合同、入户安检、安全隐患整改等全过程闭环动态监管和考核。</w:t>
            </w:r>
          </w:p>
          <w:p w14:paraId="57E7BE01">
            <w:pPr>
              <w:spacing w:line="320" w:lineRule="exact"/>
              <w:ind w:firstLine="422"/>
              <w:rPr>
                <w:bCs/>
                <w:sz w:val="21"/>
                <w:szCs w:val="21"/>
              </w:rPr>
            </w:pPr>
            <w:r>
              <w:rPr>
                <w:b/>
                <w:sz w:val="21"/>
                <w:szCs w:val="21"/>
              </w:rPr>
              <w:t>3</w:t>
            </w:r>
            <w:r>
              <w:rPr>
                <w:b/>
                <w:bCs/>
                <w:sz w:val="21"/>
                <w:szCs w:val="21"/>
              </w:rPr>
              <w:t>.</w:t>
            </w:r>
            <w:r>
              <w:rPr>
                <w:rFonts w:hint="eastAsia"/>
                <w:b/>
                <w:bCs/>
                <w:sz w:val="21"/>
                <w:szCs w:val="21"/>
              </w:rPr>
              <w:t>智慧交通建设项目。</w:t>
            </w:r>
            <w:r>
              <w:rPr>
                <w:rFonts w:hint="eastAsia"/>
                <w:bCs/>
                <w:sz w:val="21"/>
                <w:szCs w:val="21"/>
              </w:rPr>
              <w:t>包括智慧交通中枢平台、智慧路网监测、智慧执法系统、智慧民生服务等建设项目。</w:t>
            </w:r>
          </w:p>
        </w:tc>
      </w:tr>
    </w:tbl>
    <w:p w14:paraId="2B7E3403">
      <w:pPr>
        <w:pStyle w:val="3"/>
        <w:spacing w:before="217" w:after="217"/>
      </w:pPr>
      <w:bookmarkStart w:id="273" w:name="_Toc237336676"/>
      <w:r>
        <w:rPr>
          <w:rFonts w:hint="eastAsia"/>
        </w:rPr>
        <w:t>第四节</w:t>
      </w:r>
      <w:r>
        <w:t xml:space="preserve"> </w:t>
      </w:r>
      <w:r>
        <w:rPr>
          <w:rFonts w:hint="eastAsia"/>
        </w:rPr>
        <w:t>加强城市基础设施保障能力</w:t>
      </w:r>
      <w:bookmarkEnd w:id="273"/>
    </w:p>
    <w:p w14:paraId="06FEADB1">
      <w:pPr>
        <w:ind w:firstLine="643"/>
        <w:rPr>
          <w:rFonts w:cs="Times New Roman"/>
          <w:szCs w:val="32"/>
        </w:rPr>
      </w:pPr>
      <w:r>
        <w:rPr>
          <w:rFonts w:hint="eastAsia" w:cs="Times New Roman"/>
          <w:b/>
          <w:szCs w:val="32"/>
        </w:rPr>
        <w:t>推进交通基础设施建设。</w:t>
      </w:r>
      <w:r>
        <w:rPr>
          <w:rFonts w:hint="eastAsia" w:cs="Times New Roman"/>
          <w:szCs w:val="32"/>
        </w:rPr>
        <w:t>拓宽交通基础设施建设维度，推动苇塘通航机场建设，为低空物流、低空运输、低空应急救援等应用场景提供基础设施保障。加强城区公共交通管理，全面推行城乡公共交通公司化运营，客运班车逐步更换为新能源纯电客车，推进城乡客货邮融合发展。完善交通基础设施，打通“断头路”，实施背街小巷更新改造，畅通“微循环”。健全慢行网络体系，建设慢道配套设施。增加停车泊位供给，完善“配建为主、公共为辅、路内为补充”的停车供给体系，提高医院、商超、学校等公共停车泊位使用效率。到</w:t>
      </w:r>
      <w:r>
        <w:rPr>
          <w:rFonts w:cs="Times New Roman"/>
          <w:szCs w:val="32"/>
        </w:rPr>
        <w:t>2030</w:t>
      </w:r>
      <w:r>
        <w:rPr>
          <w:rFonts w:hint="eastAsia" w:cs="Times New Roman"/>
          <w:szCs w:val="32"/>
        </w:rPr>
        <w:t>年，新增停车位6000个，修建城市慢行步道</w:t>
      </w:r>
      <w:r>
        <w:rPr>
          <w:rFonts w:cs="Times New Roman"/>
          <w:szCs w:val="32"/>
        </w:rPr>
        <w:t>5.6</w:t>
      </w:r>
      <w:r>
        <w:rPr>
          <w:rFonts w:hint="eastAsia" w:cs="Times New Roman"/>
          <w:szCs w:val="32"/>
        </w:rPr>
        <w:t>公里。</w:t>
      </w:r>
    </w:p>
    <w:p w14:paraId="55037D9C">
      <w:pPr>
        <w:ind w:firstLine="643"/>
        <w:rPr>
          <w:rFonts w:cs="Times New Roman"/>
          <w:szCs w:val="32"/>
        </w:rPr>
      </w:pPr>
      <w:r>
        <w:rPr>
          <w:rFonts w:hint="eastAsia" w:cs="Times New Roman"/>
          <w:b/>
          <w:szCs w:val="32"/>
        </w:rPr>
        <w:t>强化水电气热供应保障。</w:t>
      </w:r>
      <w:r>
        <w:rPr>
          <w:rFonts w:hint="eastAsia" w:cs="Times New Roman"/>
          <w:szCs w:val="32"/>
        </w:rPr>
        <w:t>深化城乡供水一体化，优化供水布局，扩大供水区域，将周边可发展村屯划入城区供水覆盖范围，城区供水普及率保持</w:t>
      </w:r>
      <w:r>
        <w:rPr>
          <w:rFonts w:cs="Times New Roman"/>
          <w:szCs w:val="32"/>
        </w:rPr>
        <w:t>100%</w:t>
      </w:r>
      <w:r>
        <w:rPr>
          <w:rFonts w:hint="eastAsia" w:cs="Times New Roman"/>
          <w:szCs w:val="32"/>
        </w:rPr>
        <w:t>，水质达标率稳定在</w:t>
      </w:r>
      <w:r>
        <w:rPr>
          <w:rFonts w:cs="Times New Roman"/>
          <w:szCs w:val="32"/>
        </w:rPr>
        <w:t>100%</w:t>
      </w:r>
      <w:r>
        <w:rPr>
          <w:rFonts w:hint="eastAsia" w:cs="Times New Roman"/>
          <w:szCs w:val="32"/>
        </w:rPr>
        <w:t>。提高电网供电质量，力争全县</w:t>
      </w:r>
      <w:r>
        <w:rPr>
          <w:rFonts w:cs="Times New Roman"/>
          <w:szCs w:val="32"/>
        </w:rPr>
        <w:t>10kV</w:t>
      </w:r>
      <w:r>
        <w:rPr>
          <w:rFonts w:hint="eastAsia" w:cs="Times New Roman"/>
          <w:szCs w:val="32"/>
        </w:rPr>
        <w:t>网架标准化接线率达到</w:t>
      </w:r>
      <w:r>
        <w:rPr>
          <w:rFonts w:cs="Times New Roman"/>
          <w:szCs w:val="32"/>
        </w:rPr>
        <w:t>100%</w:t>
      </w:r>
      <w:r>
        <w:rPr>
          <w:rFonts w:hint="eastAsia" w:cs="Times New Roman"/>
          <w:szCs w:val="32"/>
        </w:rPr>
        <w:t>，开展网架及二次设备标准化改造工作，增强故障隔离及处置能力。加快配电通信网络建设，统一实施光纤新建及已预留通道光纤改造，提升可靠通信能力。完善城区燃气管网建设，铺设燃气管网15公里，提升燃气管网覆盖率。开展供热“冬病夏治”，更新改造小区二级供热管网15公里、楼梯间供热管网7.5公里，消除供热系统运行隐患，降低热耗损失。</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48E99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0EDB7BAE">
            <w:pPr>
              <w:pStyle w:val="25"/>
              <w:numPr>
                <w:ilvl w:val="0"/>
                <w:numId w:val="1"/>
              </w:numPr>
              <w:ind w:left="0" w:firstLine="0" w:firstLineChars="0"/>
              <w:jc w:val="center"/>
              <w:outlineLvl w:val="3"/>
              <w:rPr>
                <w:rFonts w:eastAsia="楷体"/>
                <w:b/>
                <w:sz w:val="28"/>
                <w:szCs w:val="28"/>
              </w:rPr>
            </w:pPr>
            <w:r>
              <w:rPr>
                <w:rFonts w:hint="eastAsia" w:eastAsia="楷体"/>
                <w:b/>
                <w:sz w:val="28"/>
                <w:szCs w:val="28"/>
              </w:rPr>
              <w:t>基础设施保障重点项目</w:t>
            </w:r>
          </w:p>
          <w:p w14:paraId="2C070099">
            <w:pPr>
              <w:spacing w:line="320" w:lineRule="exact"/>
              <w:ind w:firstLine="422"/>
              <w:rPr>
                <w:b/>
                <w:sz w:val="21"/>
                <w:szCs w:val="21"/>
              </w:rPr>
            </w:pPr>
            <w:r>
              <w:rPr>
                <w:b/>
                <w:sz w:val="21"/>
                <w:szCs w:val="21"/>
              </w:rPr>
              <w:t>1.</w:t>
            </w:r>
            <w:r>
              <w:rPr>
                <w:rFonts w:hint="eastAsia"/>
                <w:b/>
                <w:sz w:val="21"/>
                <w:szCs w:val="21"/>
              </w:rPr>
              <w:t>苇塘通用机场项目。</w:t>
            </w:r>
            <w:r>
              <w:rPr>
                <w:rFonts w:hint="eastAsia"/>
                <w:sz w:val="21"/>
                <w:szCs w:val="21"/>
              </w:rPr>
              <w:t>主要包括飞行区工程、地面配套设施及功能区建设。</w:t>
            </w:r>
          </w:p>
          <w:p w14:paraId="49A953D7">
            <w:pPr>
              <w:spacing w:line="320" w:lineRule="exact"/>
              <w:ind w:firstLine="422"/>
              <w:rPr>
                <w:sz w:val="21"/>
                <w:szCs w:val="21"/>
              </w:rPr>
            </w:pPr>
            <w:r>
              <w:rPr>
                <w:b/>
                <w:sz w:val="21"/>
                <w:szCs w:val="21"/>
              </w:rPr>
              <w:t>2.</w:t>
            </w:r>
            <w:r>
              <w:rPr>
                <w:rFonts w:hint="eastAsia"/>
                <w:b/>
                <w:sz w:val="21"/>
                <w:szCs w:val="21"/>
              </w:rPr>
              <w:t>卧龙湖“水上机场”项目。</w:t>
            </w:r>
            <w:r>
              <w:rPr>
                <w:rFonts w:hint="eastAsia"/>
                <w:sz w:val="21"/>
                <w:szCs w:val="21"/>
              </w:rPr>
              <w:t>聚焦水上娱乐休闲、旅游观光、水上救援、低空飞行等应用场景进行改扩建。</w:t>
            </w:r>
          </w:p>
          <w:p w14:paraId="49B71D73">
            <w:pPr>
              <w:spacing w:line="320" w:lineRule="exact"/>
              <w:ind w:firstLine="422"/>
              <w:rPr>
                <w:bCs/>
                <w:sz w:val="21"/>
                <w:szCs w:val="21"/>
              </w:rPr>
            </w:pPr>
            <w:r>
              <w:rPr>
                <w:b/>
                <w:sz w:val="21"/>
                <w:szCs w:val="21"/>
              </w:rPr>
              <w:t>3.</w:t>
            </w:r>
            <w:r>
              <w:rPr>
                <w:rFonts w:hint="eastAsia"/>
                <w:b/>
                <w:sz w:val="21"/>
                <w:szCs w:val="21"/>
              </w:rPr>
              <w:t>康平县城区防洪排涝北泵站建设项目。</w:t>
            </w:r>
            <w:r>
              <w:rPr>
                <w:rFonts w:hint="eastAsia"/>
                <w:bCs/>
                <w:sz w:val="21"/>
                <w:szCs w:val="21"/>
              </w:rPr>
              <w:t>在中水明渠上新建排涝北泵站，增强城区防洪排涝能力。</w:t>
            </w:r>
          </w:p>
          <w:p w14:paraId="3F65F180">
            <w:pPr>
              <w:spacing w:line="320" w:lineRule="exact"/>
              <w:ind w:firstLine="422"/>
              <w:rPr>
                <w:bCs/>
                <w:sz w:val="21"/>
                <w:szCs w:val="21"/>
              </w:rPr>
            </w:pPr>
            <w:r>
              <w:rPr>
                <w:b/>
                <w:sz w:val="21"/>
                <w:szCs w:val="21"/>
              </w:rPr>
              <w:t>4</w:t>
            </w:r>
            <w:r>
              <w:rPr>
                <w:b/>
                <w:bCs/>
                <w:sz w:val="21"/>
                <w:szCs w:val="21"/>
              </w:rPr>
              <w:t>.</w:t>
            </w:r>
            <w:r>
              <w:rPr>
                <w:rFonts w:hint="eastAsia"/>
                <w:b/>
                <w:bCs/>
                <w:sz w:val="21"/>
                <w:szCs w:val="21"/>
              </w:rPr>
              <w:t>沉陷区综合治理项目。</w:t>
            </w:r>
            <w:r>
              <w:rPr>
                <w:rFonts w:hint="eastAsia"/>
                <w:bCs/>
                <w:sz w:val="21"/>
                <w:szCs w:val="21"/>
              </w:rPr>
              <w:t>对三台子沉陷区河道进行改扩建，拆除大坝及附属设施，清淤疏浚、新增景观绿化、新建桥梁、引水闸、农桥及泵站。</w:t>
            </w:r>
          </w:p>
          <w:p w14:paraId="3586FF7F">
            <w:pPr>
              <w:spacing w:line="320" w:lineRule="exact"/>
              <w:ind w:firstLine="422"/>
              <w:rPr>
                <w:bCs/>
                <w:sz w:val="21"/>
                <w:szCs w:val="21"/>
              </w:rPr>
            </w:pPr>
            <w:r>
              <w:rPr>
                <w:b/>
                <w:sz w:val="21"/>
                <w:szCs w:val="21"/>
              </w:rPr>
              <w:t>5.</w:t>
            </w:r>
            <w:r>
              <w:rPr>
                <w:rFonts w:hint="eastAsia"/>
                <w:b/>
                <w:sz w:val="21"/>
                <w:szCs w:val="21"/>
              </w:rPr>
              <w:t>停车场改造项目。</w:t>
            </w:r>
            <w:r>
              <w:rPr>
                <w:rFonts w:hint="eastAsia"/>
                <w:bCs/>
                <w:sz w:val="21"/>
                <w:szCs w:val="21"/>
              </w:rPr>
              <w:t>维修改造停车位</w:t>
            </w:r>
            <w:r>
              <w:rPr>
                <w:bCs/>
                <w:sz w:val="21"/>
                <w:szCs w:val="21"/>
              </w:rPr>
              <w:t>6000</w:t>
            </w:r>
            <w:r>
              <w:rPr>
                <w:rFonts w:hint="eastAsia"/>
                <w:bCs/>
                <w:sz w:val="21"/>
                <w:szCs w:val="21"/>
              </w:rPr>
              <w:t>个。</w:t>
            </w:r>
          </w:p>
          <w:p w14:paraId="553B5DE7">
            <w:pPr>
              <w:spacing w:line="320" w:lineRule="exact"/>
              <w:ind w:firstLine="422"/>
              <w:rPr>
                <w:bCs/>
                <w:sz w:val="21"/>
                <w:szCs w:val="21"/>
              </w:rPr>
            </w:pPr>
            <w:r>
              <w:rPr>
                <w:b/>
                <w:sz w:val="21"/>
                <w:szCs w:val="21"/>
              </w:rPr>
              <w:t>6.</w:t>
            </w:r>
            <w:r>
              <w:rPr>
                <w:rFonts w:hint="eastAsia"/>
                <w:b/>
                <w:sz w:val="21"/>
                <w:szCs w:val="21"/>
              </w:rPr>
              <w:t>康平县街路慢行品质提升改造项目。</w:t>
            </w:r>
            <w:r>
              <w:rPr>
                <w:rFonts w:hint="eastAsia"/>
                <w:bCs/>
                <w:sz w:val="21"/>
                <w:szCs w:val="21"/>
              </w:rPr>
              <w:t>提升改造慢行示范路。</w:t>
            </w:r>
          </w:p>
          <w:p w14:paraId="4809F402">
            <w:pPr>
              <w:spacing w:line="320" w:lineRule="exact"/>
              <w:ind w:firstLine="422"/>
              <w:rPr>
                <w:bCs/>
                <w:sz w:val="21"/>
                <w:szCs w:val="21"/>
              </w:rPr>
            </w:pPr>
            <w:r>
              <w:rPr>
                <w:b/>
                <w:sz w:val="21"/>
                <w:szCs w:val="21"/>
              </w:rPr>
              <w:t>7.</w:t>
            </w:r>
            <w:r>
              <w:rPr>
                <w:rFonts w:hint="eastAsia"/>
                <w:b/>
                <w:sz w:val="21"/>
                <w:szCs w:val="21"/>
              </w:rPr>
              <w:t>城区道路两侧硬覆盖更新项目。</w:t>
            </w:r>
            <w:r>
              <w:rPr>
                <w:rFonts w:hint="eastAsia"/>
                <w:bCs/>
                <w:sz w:val="21"/>
                <w:szCs w:val="21"/>
              </w:rPr>
              <w:t>更新改造人行道硬覆盖，提升道路品质。</w:t>
            </w:r>
          </w:p>
          <w:p w14:paraId="0A5AD980">
            <w:pPr>
              <w:spacing w:line="320" w:lineRule="exact"/>
              <w:ind w:firstLine="422"/>
              <w:rPr>
                <w:bCs/>
                <w:sz w:val="21"/>
                <w:szCs w:val="21"/>
              </w:rPr>
            </w:pPr>
            <w:r>
              <w:rPr>
                <w:b/>
                <w:sz w:val="21"/>
                <w:szCs w:val="21"/>
              </w:rPr>
              <w:t>8.</w:t>
            </w:r>
            <w:r>
              <w:rPr>
                <w:rFonts w:hint="eastAsia"/>
                <w:b/>
                <w:sz w:val="21"/>
                <w:szCs w:val="21"/>
              </w:rPr>
              <w:t>背街小巷改造项目。</w:t>
            </w:r>
            <w:r>
              <w:rPr>
                <w:rFonts w:hint="eastAsia"/>
                <w:bCs/>
                <w:sz w:val="21"/>
                <w:szCs w:val="21"/>
              </w:rPr>
              <w:t>对城区内背街小巷胡同道路、管网及附属设施进行维修改造，优化出行和居住环境。</w:t>
            </w:r>
          </w:p>
          <w:p w14:paraId="64945229">
            <w:pPr>
              <w:spacing w:line="320" w:lineRule="exact"/>
              <w:ind w:firstLine="422"/>
              <w:rPr>
                <w:bCs/>
                <w:sz w:val="21"/>
                <w:szCs w:val="21"/>
              </w:rPr>
            </w:pPr>
            <w:r>
              <w:rPr>
                <w:b/>
                <w:bCs/>
                <w:sz w:val="21"/>
                <w:szCs w:val="21"/>
              </w:rPr>
              <w:t>9.</w:t>
            </w:r>
            <w:bookmarkStart w:id="274" w:name="OLE_LINK191"/>
            <w:bookmarkStart w:id="275" w:name="OLE_LINK188"/>
            <w:r>
              <w:rPr>
                <w:rFonts w:hint="eastAsia"/>
                <w:b/>
                <w:bCs/>
                <w:sz w:val="21"/>
                <w:szCs w:val="21"/>
              </w:rPr>
              <w:t>康平县配电网项目</w:t>
            </w:r>
            <w:bookmarkEnd w:id="274"/>
            <w:bookmarkEnd w:id="275"/>
            <w:r>
              <w:rPr>
                <w:rFonts w:hint="eastAsia"/>
                <w:bCs/>
                <w:sz w:val="21"/>
                <w:szCs w:val="21"/>
              </w:rPr>
              <w:t>。</w:t>
            </w:r>
            <w:r>
              <w:rPr>
                <w:bCs/>
                <w:sz w:val="21"/>
                <w:szCs w:val="21"/>
              </w:rPr>
              <w:t>10kV</w:t>
            </w:r>
            <w:r>
              <w:rPr>
                <w:rFonts w:hint="eastAsia"/>
                <w:bCs/>
                <w:sz w:val="21"/>
                <w:szCs w:val="21"/>
              </w:rPr>
              <w:t>电网新增及改造线路</w:t>
            </w:r>
            <w:r>
              <w:rPr>
                <w:bCs/>
                <w:sz w:val="21"/>
                <w:szCs w:val="21"/>
              </w:rPr>
              <w:t>109</w:t>
            </w:r>
            <w:r>
              <w:rPr>
                <w:rFonts w:hint="eastAsia"/>
                <w:bCs/>
                <w:sz w:val="21"/>
                <w:szCs w:val="21"/>
              </w:rPr>
              <w:t>条。</w:t>
            </w:r>
          </w:p>
        </w:tc>
      </w:tr>
    </w:tbl>
    <w:p w14:paraId="5FECEBC4">
      <w:pPr>
        <w:pStyle w:val="2"/>
        <w:spacing w:before="217" w:after="217"/>
        <w:rPr>
          <w:b w:val="0"/>
          <w:bCs/>
        </w:rPr>
      </w:pPr>
      <w:bookmarkStart w:id="276" w:name="_Toc237336677"/>
      <w:r>
        <w:rPr>
          <w:rFonts w:hint="eastAsia"/>
          <w:b w:val="0"/>
          <w:bCs/>
        </w:rPr>
        <w:t>第八章</w:t>
      </w:r>
      <w:r>
        <w:rPr>
          <w:b w:val="0"/>
          <w:bCs/>
        </w:rPr>
        <w:t xml:space="preserve"> </w:t>
      </w:r>
      <w:r>
        <w:rPr>
          <w:rFonts w:hint="eastAsia"/>
          <w:b w:val="0"/>
          <w:bCs/>
        </w:rPr>
        <w:t>激发文化创造活力</w:t>
      </w:r>
      <w:r>
        <w:rPr>
          <w:b w:val="0"/>
          <w:bCs/>
        </w:rPr>
        <w:t xml:space="preserve"> </w:t>
      </w:r>
      <w:r>
        <w:rPr>
          <w:rFonts w:hint="eastAsia"/>
          <w:b w:val="0"/>
          <w:bCs/>
        </w:rPr>
        <w:t>促进文体旅繁荣发展</w:t>
      </w:r>
      <w:bookmarkEnd w:id="276"/>
    </w:p>
    <w:p w14:paraId="349DEC64">
      <w:pPr>
        <w:ind w:firstLine="640"/>
      </w:pPr>
      <w:r>
        <w:rPr>
          <w:rFonts w:hint="eastAsia"/>
        </w:rPr>
        <w:t>坚持以文塑旅、以体促旅、以旅彰文，充分激活康平文化底蕴、体育优势、旅游特色，推进文体旅深度融合发展，让文化软实力成为推动县域高质量发展的硬支撑。到2</w:t>
      </w:r>
      <w:r>
        <w:t>030</w:t>
      </w:r>
      <w:r>
        <w:rPr>
          <w:rFonts w:hint="eastAsia"/>
        </w:rPr>
        <w:t>年，文体旅总收入突破20亿元。</w:t>
      </w:r>
    </w:p>
    <w:p w14:paraId="7A85D0FC">
      <w:pPr>
        <w:pStyle w:val="3"/>
        <w:spacing w:before="217" w:after="217"/>
      </w:pPr>
      <w:bookmarkStart w:id="277" w:name="_Toc237336678"/>
      <w:r>
        <w:rPr>
          <w:rFonts w:hint="eastAsia"/>
        </w:rPr>
        <w:t>第一节</w:t>
      </w:r>
      <w:r>
        <w:t xml:space="preserve"> </w:t>
      </w:r>
      <w:r>
        <w:rPr>
          <w:rFonts w:hint="eastAsia"/>
        </w:rPr>
        <w:t>开展新时代精神文明建设</w:t>
      </w:r>
      <w:bookmarkEnd w:id="277"/>
    </w:p>
    <w:p w14:paraId="16D21F34">
      <w:pPr>
        <w:ind w:firstLine="643"/>
      </w:pPr>
      <w:r>
        <w:rPr>
          <w:rFonts w:hint="eastAsia"/>
          <w:b/>
        </w:rPr>
        <w:t>强化理论武装。</w:t>
      </w:r>
      <w:r>
        <w:rPr>
          <w:rFonts w:hint="eastAsia"/>
        </w:rPr>
        <w:t>弘扬社会主义核心价值观，弘扬以爱国主义为核心的民族精神和以改革创新为核心的时代精神。坚持文化自立，坚定文化自信，推进文化自强，提升用党的创新理论凝心铸魂能力，深化理论学习教育，加大研究阐释和宣传普及力度，增强文化文艺原创能力及文化安全守护能力。</w:t>
      </w:r>
    </w:p>
    <w:p w14:paraId="49BEB14D">
      <w:pPr>
        <w:ind w:firstLine="643"/>
      </w:pPr>
      <w:r>
        <w:rPr>
          <w:rFonts w:hint="eastAsia" w:cs="仿宋"/>
          <w:b/>
          <w:bCs/>
          <w:kern w:val="0"/>
          <w:szCs w:val="32"/>
          <w:lang w:bidi="ar"/>
        </w:rPr>
        <w:t>壮大主流思想。</w:t>
      </w:r>
      <w:r>
        <w:rPr>
          <w:rFonts w:hint="eastAsia" w:cs="仿宋"/>
          <w:kern w:val="0"/>
          <w:szCs w:val="32"/>
          <w:lang w:bidi="ar"/>
        </w:rPr>
        <w:t>深化县级融媒体改革，制定《全媒体人才五年引育计划》，提升县级融媒体中心传播能力建设，推出《康平青年说》《非遗里的康平》等系列纪录片，打造优质新媒体传播矩阵，拓宽主流媒体引领覆盖面。叫响“理响康平”宣讲品牌，培育一批网络知名人士。</w:t>
      </w:r>
    </w:p>
    <w:p w14:paraId="42C5CBA1">
      <w:pPr>
        <w:ind w:firstLine="643"/>
        <w:rPr>
          <w:rFonts w:cs="仿宋"/>
          <w:kern w:val="0"/>
          <w:szCs w:val="32"/>
          <w:lang w:bidi="ar"/>
        </w:rPr>
      </w:pPr>
      <w:r>
        <w:rPr>
          <w:rFonts w:hint="eastAsia" w:cs="仿宋"/>
          <w:b/>
          <w:bCs/>
          <w:szCs w:val="40"/>
        </w:rPr>
        <w:t>提质城市文明</w:t>
      </w:r>
      <w:r>
        <w:rPr>
          <w:rFonts w:hint="eastAsia" w:cs="仿宋"/>
          <w:b/>
          <w:bCs/>
          <w:szCs w:val="32"/>
        </w:rPr>
        <w:t>。</w:t>
      </w:r>
      <w:r>
        <w:rPr>
          <w:rFonts w:hint="eastAsia" w:cs="仿宋"/>
          <w:szCs w:val="32"/>
        </w:rPr>
        <w:t>建设全国县级文明城市，构建文明建设“实践化”推进体系，推动文明村镇、文明单位、文明家庭、文明校园等群众性精神文明创建活动提质增效。聚焦城市管理、环境卫生、公共秩序、基础设施等方面，</w:t>
      </w:r>
      <w:r>
        <w:rPr>
          <w:rFonts w:hint="eastAsia" w:cs="仿宋"/>
          <w:kern w:val="0"/>
          <w:szCs w:val="32"/>
          <w:lang w:bidi="ar"/>
        </w:rPr>
        <w:t>持续</w:t>
      </w:r>
      <w:r>
        <w:rPr>
          <w:rFonts w:hint="eastAsia" w:cs="仿宋"/>
          <w:szCs w:val="32"/>
        </w:rPr>
        <w:t>挖掘培育典型，壮大</w:t>
      </w:r>
      <w:r>
        <w:rPr>
          <w:rFonts w:hint="eastAsia" w:cs="仿宋"/>
          <w:kern w:val="0"/>
          <w:szCs w:val="32"/>
          <w:lang w:bidi="ar"/>
        </w:rPr>
        <w:t>“康平好人联盟”队伍。常态化开展“文明有礼沈阳人”“康平文明有礼”等行动，推动文明行为养成。</w:t>
      </w:r>
    </w:p>
    <w:p w14:paraId="5B498663">
      <w:pPr>
        <w:pStyle w:val="3"/>
        <w:spacing w:before="217" w:after="217"/>
      </w:pPr>
      <w:bookmarkStart w:id="278" w:name="_Toc237336679"/>
      <w:r>
        <w:rPr>
          <w:rFonts w:hint="eastAsia"/>
        </w:rPr>
        <w:t>第二节</w:t>
      </w:r>
      <w:r>
        <w:t xml:space="preserve"> </w:t>
      </w:r>
      <w:r>
        <w:rPr>
          <w:rFonts w:hint="eastAsia"/>
        </w:rPr>
        <w:t>加强文化遗产保护传承与利用</w:t>
      </w:r>
      <w:bookmarkEnd w:id="278"/>
    </w:p>
    <w:p w14:paraId="112050C9">
      <w:pPr>
        <w:ind w:firstLine="643"/>
        <w:rPr>
          <w:rFonts w:cs="仿宋_GB2312"/>
          <w:szCs w:val="32"/>
        </w:rPr>
      </w:pPr>
      <w:r>
        <w:rPr>
          <w:rFonts w:cs="仿宋_GB2312"/>
          <w:b/>
          <w:bCs/>
          <w:szCs w:val="32"/>
        </w:rPr>
        <w:t>深化文化遗产保护传承。</w:t>
      </w:r>
      <w:r>
        <w:rPr>
          <w:rFonts w:hint="eastAsia" w:cs="仿宋_GB2312"/>
          <w:bCs/>
          <w:szCs w:val="32"/>
        </w:rPr>
        <w:t>深挖辽金捺钵、渔猎非遗文化底蕴，推进祺州古城、辽墓等历史遗产遗址的保护性开发。</w:t>
      </w:r>
      <w:r>
        <w:rPr>
          <w:rFonts w:cs="Times New Roman"/>
          <w:szCs w:val="40"/>
        </w:rPr>
        <w:t>实施重点文物保护修缮工程，有序推进那尔苏陵园等历史遗址的修缮与维护</w:t>
      </w:r>
      <w:r>
        <w:rPr>
          <w:rFonts w:cs="仿宋_GB2312"/>
          <w:szCs w:val="32"/>
        </w:rPr>
        <w:t>。深化文物保护工程管理体制改革，建立标准化文物信息数据库，完善分级保护名录体系。深入挖掘辽金故里、满蒙风情，推进传统村落和民居活态传承。依托</w:t>
      </w:r>
      <w:r>
        <w:rPr>
          <w:rFonts w:hint="eastAsia" w:cs="仿宋_GB2312"/>
          <w:szCs w:val="32"/>
        </w:rPr>
        <w:t>康平</w:t>
      </w:r>
      <w:r>
        <w:rPr>
          <w:rFonts w:cs="仿宋_GB2312"/>
          <w:szCs w:val="32"/>
        </w:rPr>
        <w:t>博物馆智能化升级，通过数字技术还原辽金历史场景与人物风貌，增强文化体验的互动感与代入感。</w:t>
      </w:r>
    </w:p>
    <w:p w14:paraId="0303723A">
      <w:pPr>
        <w:ind w:firstLine="643"/>
        <w:rPr>
          <w:rFonts w:cs="仿宋_GB2312"/>
          <w:szCs w:val="32"/>
        </w:rPr>
      </w:pPr>
      <w:r>
        <w:rPr>
          <w:rFonts w:cs="仿宋_GB2312"/>
          <w:b/>
          <w:bCs/>
          <w:szCs w:val="32"/>
        </w:rPr>
        <w:t>传承发展中华优秀传统文化。</w:t>
      </w:r>
      <w:r>
        <w:rPr>
          <w:rFonts w:hint="eastAsia" w:cs="仿宋_GB2312"/>
          <w:szCs w:val="32"/>
        </w:rPr>
        <w:t>完善非遗项目和传承人名录体系，新增1项市级及以上非遗项目。</w:t>
      </w:r>
      <w:r>
        <w:rPr>
          <w:rFonts w:cs="仿宋_GB2312"/>
          <w:szCs w:val="32"/>
        </w:rPr>
        <w:t>推动非遗活态传承</w:t>
      </w:r>
      <w:r>
        <w:rPr>
          <w:rFonts w:hint="eastAsia" w:cs="仿宋_GB2312"/>
          <w:szCs w:val="32"/>
        </w:rPr>
        <w:t>，持续开展“非遗进社区、进校园、进景区”活动，鼓励非遗传承人、企业开发非遗文创产品、非遗美食、非遗体验项目。推动非遗与旅游深度融合，结合乡村特色传统节日，组织开展丰富多彩的民俗文化活动。</w:t>
      </w:r>
    </w:p>
    <w:p w14:paraId="48F6ECAB">
      <w:pPr>
        <w:ind w:firstLine="643"/>
        <w:rPr>
          <w:rFonts w:cs="仿宋_GB2312"/>
          <w:szCs w:val="32"/>
        </w:rPr>
      </w:pPr>
      <w:r>
        <w:rPr>
          <w:rFonts w:cs="仿宋_GB2312"/>
          <w:b/>
          <w:bCs/>
          <w:szCs w:val="32"/>
        </w:rPr>
        <w:t>塑造康平地域文化标识。</w:t>
      </w:r>
      <w:r>
        <w:rPr>
          <w:rFonts w:cs="仿宋_GB2312"/>
          <w:szCs w:val="32"/>
        </w:rPr>
        <w:t>深化辽金文化遗址考古研究，</w:t>
      </w:r>
      <w:r>
        <w:rPr>
          <w:rFonts w:hint="eastAsia" w:cs="仿宋_GB2312"/>
          <w:szCs w:val="32"/>
        </w:rPr>
        <w:t>建设</w:t>
      </w:r>
      <w:r>
        <w:rPr>
          <w:rFonts w:cs="仿宋_GB2312"/>
          <w:szCs w:val="32"/>
        </w:rPr>
        <w:t>考古遗址公园</w:t>
      </w:r>
      <w:r>
        <w:rPr>
          <w:rFonts w:hint="eastAsia" w:cs="仿宋_GB2312"/>
          <w:szCs w:val="32"/>
        </w:rPr>
        <w:t>。</w:t>
      </w:r>
      <w:r>
        <w:rPr>
          <w:rFonts w:cs="仿宋_GB2312"/>
          <w:szCs w:val="32"/>
        </w:rPr>
        <w:t>开展康平境内辽河干流区域重点红山文化遗址勘探调查，申报国家红山文化遗址发掘项目，系统挖掘阐释辽河流域零公里起源的文化内涵</w:t>
      </w:r>
      <w:r>
        <w:rPr>
          <w:rFonts w:hint="eastAsia" w:cs="仿宋_GB2312"/>
          <w:szCs w:val="32"/>
        </w:rPr>
        <w:t>。精准提炼坚韧不拔、绿满家园的防风治沙康平精神</w:t>
      </w:r>
      <w:r>
        <w:rPr>
          <w:rFonts w:cs="仿宋_GB2312"/>
          <w:szCs w:val="32"/>
        </w:rPr>
        <w:t>。</w:t>
      </w:r>
      <w:r>
        <w:rPr>
          <w:rFonts w:hint="eastAsia" w:cs="仿宋_GB2312"/>
          <w:szCs w:val="32"/>
        </w:rPr>
        <w:t>深入挖掘红色文化</w:t>
      </w:r>
      <w:r>
        <w:rPr>
          <w:rFonts w:hint="eastAsia" w:ascii="仿宋" w:hAnsi="仿宋" w:eastAsia="仿宋" w:cs="宋体"/>
          <w:kern w:val="0"/>
          <w:szCs w:val="32"/>
        </w:rPr>
        <w:t>，</w:t>
      </w:r>
      <w:r>
        <w:rPr>
          <w:rFonts w:cs="仿宋_GB2312"/>
          <w:szCs w:val="32"/>
        </w:rPr>
        <w:t>建</w:t>
      </w:r>
      <w:r>
        <w:rPr>
          <w:rFonts w:hint="eastAsia" w:cs="仿宋_GB2312"/>
          <w:szCs w:val="32"/>
        </w:rPr>
        <w:t>设</w:t>
      </w:r>
      <w:r>
        <w:rPr>
          <w:rFonts w:cs="仿宋_GB2312"/>
          <w:szCs w:val="32"/>
        </w:rPr>
        <w:t>英雄公园等新地标，传承革命精神。</w:t>
      </w:r>
    </w:p>
    <w:p w14:paraId="1ECE97CE">
      <w:pPr>
        <w:pStyle w:val="3"/>
        <w:spacing w:before="217" w:after="217"/>
      </w:pPr>
      <w:bookmarkStart w:id="279" w:name="_Toc237336680"/>
      <w:r>
        <w:rPr>
          <w:rFonts w:hint="eastAsia"/>
        </w:rPr>
        <w:t>第三节</w:t>
      </w:r>
      <w:r>
        <w:t xml:space="preserve"> </w:t>
      </w:r>
      <w:r>
        <w:rPr>
          <w:rFonts w:hint="eastAsia"/>
        </w:rPr>
        <w:t>提高公共文化服务供给水平</w:t>
      </w:r>
      <w:bookmarkEnd w:id="279"/>
    </w:p>
    <w:p w14:paraId="54F6D83D">
      <w:pPr>
        <w:ind w:firstLine="643"/>
        <w:rPr>
          <w:rFonts w:cs="仿宋_GB2312"/>
          <w:b/>
          <w:bCs/>
          <w:szCs w:val="32"/>
        </w:rPr>
      </w:pPr>
      <w:r>
        <w:rPr>
          <w:rFonts w:hint="eastAsia" w:ascii="仿宋_GB2312" w:cs="仿宋_GB2312"/>
          <w:b/>
          <w:bCs/>
          <w:szCs w:val="32"/>
        </w:rPr>
        <w:t>实施文化惠民工程。</w:t>
      </w:r>
      <w:r>
        <w:rPr>
          <w:rFonts w:hint="eastAsia" w:ascii="仿宋_GB2312" w:hAnsi="仿宋" w:cs="宋体"/>
          <w:kern w:val="0"/>
          <w:szCs w:val="32"/>
        </w:rPr>
        <w:t>广泛开展群众性文化活动，推动戏曲进乡村、“村晚”等优质文化资源直达基层。拓展城乡公共文化活动空间，推进图书馆提质升级、文化馆新址提升改造、康平博物馆展陈更新及数字化改造等项目建设，推动康平博物馆晋升为国有博物馆。深化“书香康平”建设，完善城市书房、乡镇文化站、农村图书流通站点布局。创新建设“生态文化驿站”等新型公共文化空间，进一步完善湿地科普馆功能。</w:t>
      </w:r>
    </w:p>
    <w:p w14:paraId="5362D54D">
      <w:pPr>
        <w:ind w:firstLine="643"/>
        <w:rPr>
          <w:rFonts w:cs="仿宋_GB2312"/>
          <w:bCs/>
          <w:szCs w:val="32"/>
        </w:rPr>
      </w:pPr>
      <w:r>
        <w:rPr>
          <w:rFonts w:cs="仿宋_GB2312"/>
          <w:b/>
          <w:bCs/>
          <w:szCs w:val="32"/>
        </w:rPr>
        <w:t>打造康平文化精品。</w:t>
      </w:r>
      <w:r>
        <w:rPr>
          <w:rFonts w:cs="仿宋_GB2312"/>
          <w:bCs/>
          <w:szCs w:val="32"/>
        </w:rPr>
        <w:t>加大创作扶持力度，</w:t>
      </w:r>
      <w:r>
        <w:rPr>
          <w:rFonts w:hint="eastAsia" w:cs="仿宋_GB2312"/>
          <w:bCs/>
          <w:szCs w:val="32"/>
        </w:rPr>
        <w:t>做优做强中国作家“深入生活、扎根人民”新时代文学实践点，</w:t>
      </w:r>
      <w:r>
        <w:rPr>
          <w:rFonts w:cs="仿宋_GB2312"/>
          <w:bCs/>
          <w:szCs w:val="32"/>
        </w:rPr>
        <w:t>孵化</w:t>
      </w:r>
      <w:r>
        <w:rPr>
          <w:rFonts w:hint="eastAsia" w:cs="仿宋_GB2312"/>
          <w:bCs/>
          <w:szCs w:val="32"/>
        </w:rPr>
        <w:t>全国知名作品</w:t>
      </w:r>
      <w:r>
        <w:rPr>
          <w:rFonts w:cs="仿宋_GB2312"/>
          <w:bCs/>
          <w:szCs w:val="32"/>
        </w:rPr>
        <w:t>。加快文化人才培养，</w:t>
      </w:r>
      <w:r>
        <w:rPr>
          <w:rFonts w:hint="eastAsia" w:cs="仿宋_GB2312"/>
          <w:bCs/>
          <w:szCs w:val="32"/>
        </w:rPr>
        <w:t>推进“</w:t>
      </w:r>
      <w:r>
        <w:rPr>
          <w:rFonts w:cs="仿宋_GB2312"/>
          <w:bCs/>
          <w:szCs w:val="32"/>
        </w:rPr>
        <w:t>卧龙湖书友会</w:t>
      </w:r>
      <w:r>
        <w:rPr>
          <w:rFonts w:hint="eastAsia" w:cs="仿宋_GB2312"/>
          <w:bCs/>
          <w:szCs w:val="32"/>
        </w:rPr>
        <w:t>”和“</w:t>
      </w:r>
      <w:r>
        <w:rPr>
          <w:rFonts w:cs="仿宋_GB2312"/>
          <w:bCs/>
          <w:szCs w:val="32"/>
        </w:rPr>
        <w:t>卧龙湖作家群</w:t>
      </w:r>
      <w:r>
        <w:rPr>
          <w:rFonts w:hint="eastAsia" w:cs="仿宋_GB2312"/>
          <w:bCs/>
          <w:szCs w:val="32"/>
        </w:rPr>
        <w:t>”</w:t>
      </w:r>
      <w:r>
        <w:rPr>
          <w:rFonts w:cs="仿宋_GB2312"/>
          <w:bCs/>
          <w:szCs w:val="32"/>
        </w:rPr>
        <w:t>人才队伍建设。依托公益大讲堂、康平云课堂等平台</w:t>
      </w:r>
      <w:r>
        <w:rPr>
          <w:rFonts w:hint="eastAsia" w:cs="仿宋_GB2312"/>
          <w:bCs/>
          <w:szCs w:val="32"/>
        </w:rPr>
        <w:t>，</w:t>
      </w:r>
      <w:r>
        <w:rPr>
          <w:rFonts w:cs="仿宋_GB2312"/>
          <w:bCs/>
          <w:szCs w:val="32"/>
        </w:rPr>
        <w:t>讲好康平故事</w:t>
      </w:r>
      <w:r>
        <w:rPr>
          <w:rFonts w:hint="eastAsia" w:cs="仿宋_GB2312"/>
          <w:bCs/>
          <w:szCs w:val="32"/>
        </w:rPr>
        <w:t>、传播康平声音</w:t>
      </w:r>
      <w:r>
        <w:rPr>
          <w:rFonts w:cs="仿宋_GB2312"/>
          <w:bCs/>
          <w:szCs w:val="32"/>
        </w:rPr>
        <w:t>。</w:t>
      </w:r>
    </w:p>
    <w:p w14:paraId="409D2C95">
      <w:pPr>
        <w:ind w:firstLine="643"/>
        <w:rPr>
          <w:rFonts w:cs="仿宋_GB2312"/>
          <w:bCs/>
          <w:szCs w:val="32"/>
        </w:rPr>
      </w:pPr>
      <w:r>
        <w:rPr>
          <w:rFonts w:cs="仿宋_GB2312"/>
          <w:b/>
          <w:bCs/>
          <w:szCs w:val="32"/>
        </w:rPr>
        <w:t>塑造</w:t>
      </w:r>
      <w:r>
        <w:rPr>
          <w:rFonts w:hint="eastAsia" w:cs="仿宋_GB2312"/>
          <w:b/>
          <w:bCs/>
          <w:szCs w:val="32"/>
        </w:rPr>
        <w:t>“</w:t>
      </w:r>
      <w:r>
        <w:rPr>
          <w:rFonts w:cs="仿宋_GB2312"/>
          <w:b/>
          <w:bCs/>
          <w:szCs w:val="32"/>
        </w:rPr>
        <w:t>康平文艺</w:t>
      </w:r>
      <w:r>
        <w:rPr>
          <w:rFonts w:hint="eastAsia" w:cs="仿宋_GB2312"/>
          <w:b/>
          <w:bCs/>
          <w:szCs w:val="32"/>
        </w:rPr>
        <w:t>”</w:t>
      </w:r>
      <w:r>
        <w:rPr>
          <w:rFonts w:cs="仿宋_GB2312"/>
          <w:b/>
          <w:bCs/>
          <w:szCs w:val="32"/>
        </w:rPr>
        <w:t>品牌。</w:t>
      </w:r>
      <w:r>
        <w:rPr>
          <w:rFonts w:cs="仿宋_GB2312"/>
          <w:bCs/>
          <w:szCs w:val="32"/>
        </w:rPr>
        <w:t>积极承办沈阳旗袍文化季等沈阳文艺品牌活动，借力高端平台扩大</w:t>
      </w:r>
      <w:r>
        <w:rPr>
          <w:rFonts w:hint="eastAsia" w:cs="仿宋_GB2312"/>
          <w:bCs/>
          <w:szCs w:val="32"/>
        </w:rPr>
        <w:t>“</w:t>
      </w:r>
      <w:r>
        <w:rPr>
          <w:rFonts w:cs="仿宋_GB2312"/>
          <w:bCs/>
          <w:szCs w:val="32"/>
        </w:rPr>
        <w:t>康平文艺</w:t>
      </w:r>
      <w:r>
        <w:rPr>
          <w:rFonts w:hint="eastAsia" w:cs="仿宋_GB2312"/>
          <w:bCs/>
          <w:szCs w:val="32"/>
        </w:rPr>
        <w:t>”</w:t>
      </w:r>
      <w:r>
        <w:rPr>
          <w:rFonts w:cs="仿宋_GB2312"/>
          <w:bCs/>
          <w:szCs w:val="32"/>
        </w:rPr>
        <w:t>影响力。打造</w:t>
      </w:r>
      <w:r>
        <w:rPr>
          <w:rFonts w:hint="eastAsia" w:cs="仿宋_GB2312"/>
          <w:bCs/>
          <w:szCs w:val="32"/>
        </w:rPr>
        <w:t>“</w:t>
      </w:r>
      <w:r>
        <w:rPr>
          <w:rFonts w:cs="仿宋_GB2312"/>
          <w:bCs/>
          <w:szCs w:val="32"/>
        </w:rPr>
        <w:t>文化广场四季秀</w:t>
      </w:r>
      <w:r>
        <w:rPr>
          <w:rFonts w:hint="eastAsia" w:cs="仿宋_GB2312"/>
          <w:bCs/>
          <w:szCs w:val="32"/>
        </w:rPr>
        <w:t>”</w:t>
      </w:r>
      <w:r>
        <w:rPr>
          <w:rFonts w:cs="仿宋_GB2312"/>
          <w:bCs/>
          <w:szCs w:val="32"/>
        </w:rPr>
        <w:t>主题专场，</w:t>
      </w:r>
      <w:r>
        <w:rPr>
          <w:rFonts w:hint="eastAsia" w:cs="仿宋_GB2312"/>
          <w:bCs/>
          <w:szCs w:val="32"/>
        </w:rPr>
        <w:t>鼓励</w:t>
      </w:r>
      <w:r>
        <w:rPr>
          <w:rFonts w:cs="仿宋_GB2312"/>
          <w:bCs/>
          <w:szCs w:val="32"/>
        </w:rPr>
        <w:t>民间文艺力量参与，</w:t>
      </w:r>
      <w:r>
        <w:rPr>
          <w:rFonts w:hint="eastAsia" w:cs="仿宋_GB2312"/>
          <w:bCs/>
          <w:szCs w:val="32"/>
        </w:rPr>
        <w:t>支持文艺表演团体发展，组建</w:t>
      </w:r>
      <w:r>
        <w:rPr>
          <w:rFonts w:cs="仿宋_GB2312"/>
          <w:bCs/>
          <w:szCs w:val="32"/>
        </w:rPr>
        <w:t>30支以上骨干志愿团队</w:t>
      </w:r>
      <w:r>
        <w:rPr>
          <w:rFonts w:hint="eastAsia" w:cs="仿宋_GB2312"/>
          <w:bCs/>
          <w:szCs w:val="32"/>
        </w:rPr>
        <w:t>，培育一批德艺双馨的文化文艺工作者。</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719A0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9290458">
            <w:pPr>
              <w:pStyle w:val="25"/>
              <w:numPr>
                <w:ilvl w:val="0"/>
                <w:numId w:val="1"/>
              </w:numPr>
              <w:ind w:left="0" w:firstLine="0" w:firstLineChars="0"/>
              <w:jc w:val="center"/>
              <w:outlineLvl w:val="3"/>
              <w:rPr>
                <w:sz w:val="21"/>
                <w:szCs w:val="21"/>
              </w:rPr>
            </w:pPr>
            <w:r>
              <w:rPr>
                <w:rFonts w:hint="eastAsia" w:eastAsia="楷体"/>
                <w:b/>
                <w:sz w:val="28"/>
                <w:szCs w:val="28"/>
              </w:rPr>
              <w:t>文化设施建设重点项目</w:t>
            </w:r>
          </w:p>
          <w:p w14:paraId="0918B3B4">
            <w:pPr>
              <w:spacing w:line="320" w:lineRule="exact"/>
              <w:ind w:firstLine="422"/>
              <w:rPr>
                <w:sz w:val="21"/>
                <w:szCs w:val="21"/>
              </w:rPr>
            </w:pPr>
            <w:r>
              <w:rPr>
                <w:b/>
                <w:sz w:val="21"/>
                <w:szCs w:val="21"/>
              </w:rPr>
              <w:t>1.</w:t>
            </w:r>
            <w:bookmarkStart w:id="280" w:name="OLE_LINK218"/>
            <w:bookmarkStart w:id="281" w:name="OLE_LINK219"/>
            <w:r>
              <w:rPr>
                <w:rFonts w:hint="eastAsia"/>
                <w:b/>
                <w:sz w:val="21"/>
                <w:szCs w:val="21"/>
              </w:rPr>
              <w:t>图书馆提质升级项目</w:t>
            </w:r>
            <w:bookmarkEnd w:id="280"/>
            <w:bookmarkEnd w:id="281"/>
            <w:r>
              <w:rPr>
                <w:rFonts w:hint="eastAsia"/>
                <w:b/>
                <w:sz w:val="21"/>
                <w:szCs w:val="21"/>
              </w:rPr>
              <w:t>。</w:t>
            </w:r>
            <w:r>
              <w:rPr>
                <w:rFonts w:hint="eastAsia"/>
                <w:sz w:val="21"/>
                <w:szCs w:val="21"/>
              </w:rPr>
              <w:t>将现有场馆扩建，打造</w:t>
            </w:r>
            <w:r>
              <w:rPr>
                <w:rFonts w:hint="cs"/>
                <w:sz w:val="21"/>
                <w:szCs w:val="21"/>
              </w:rPr>
              <w:t>“</w:t>
            </w:r>
            <w:r>
              <w:rPr>
                <w:rFonts w:hint="eastAsia"/>
                <w:sz w:val="21"/>
                <w:szCs w:val="21"/>
              </w:rPr>
              <w:t>全域通借、智慧服务</w:t>
            </w:r>
            <w:r>
              <w:rPr>
                <w:rFonts w:hint="cs"/>
                <w:sz w:val="21"/>
                <w:szCs w:val="21"/>
              </w:rPr>
              <w:t>”</w:t>
            </w:r>
            <w:r>
              <w:rPr>
                <w:rFonts w:hint="eastAsia"/>
                <w:sz w:val="21"/>
                <w:szCs w:val="21"/>
              </w:rPr>
              <w:t>的公共阅读平台。</w:t>
            </w:r>
          </w:p>
          <w:p w14:paraId="168100BB">
            <w:pPr>
              <w:spacing w:line="320" w:lineRule="exact"/>
              <w:ind w:firstLine="422"/>
              <w:rPr>
                <w:sz w:val="21"/>
                <w:szCs w:val="21"/>
              </w:rPr>
            </w:pPr>
            <w:r>
              <w:rPr>
                <w:b/>
                <w:sz w:val="21"/>
                <w:szCs w:val="21"/>
              </w:rPr>
              <w:t>2.</w:t>
            </w:r>
            <w:bookmarkStart w:id="282" w:name="OLE_LINK222"/>
            <w:r>
              <w:rPr>
                <w:rFonts w:hint="eastAsia"/>
                <w:b/>
                <w:sz w:val="21"/>
                <w:szCs w:val="21"/>
              </w:rPr>
              <w:t>文化馆新址提升改造项目</w:t>
            </w:r>
            <w:bookmarkEnd w:id="282"/>
            <w:r>
              <w:rPr>
                <w:rFonts w:hint="eastAsia"/>
                <w:b/>
                <w:sz w:val="21"/>
                <w:szCs w:val="21"/>
              </w:rPr>
              <w:t>。</w:t>
            </w:r>
            <w:r>
              <w:rPr>
                <w:rFonts w:hint="eastAsia"/>
                <w:sz w:val="21"/>
                <w:szCs w:val="21"/>
              </w:rPr>
              <w:t>对场馆进行系统性改造，打造集文化展示、艺术培训、群众互动于一体的综合性文化活动阵地。</w:t>
            </w:r>
          </w:p>
          <w:p w14:paraId="3E363D4E">
            <w:pPr>
              <w:spacing w:line="320" w:lineRule="exact"/>
              <w:ind w:firstLine="422"/>
              <w:rPr>
                <w:sz w:val="21"/>
                <w:szCs w:val="21"/>
              </w:rPr>
            </w:pPr>
            <w:r>
              <w:rPr>
                <w:b/>
                <w:sz w:val="21"/>
                <w:szCs w:val="21"/>
              </w:rPr>
              <w:t>3.</w:t>
            </w:r>
            <w:r>
              <w:rPr>
                <w:rFonts w:hint="eastAsia"/>
                <w:b/>
                <w:sz w:val="21"/>
                <w:szCs w:val="21"/>
              </w:rPr>
              <w:t>博物馆展陈更新及数字化改造。</w:t>
            </w:r>
            <w:r>
              <w:rPr>
                <w:rFonts w:hint="eastAsia"/>
                <w:sz w:val="21"/>
                <w:szCs w:val="21"/>
              </w:rPr>
              <w:t>推进设施数字化，安装综合布线系统、安防数字视频监控系统、多媒体展示系统，打造虚实结合、沉浸体验式的数字化场馆。</w:t>
            </w:r>
          </w:p>
        </w:tc>
      </w:tr>
    </w:tbl>
    <w:p w14:paraId="3EA6112D">
      <w:pPr>
        <w:pStyle w:val="3"/>
        <w:spacing w:before="217" w:after="217"/>
      </w:pPr>
      <w:bookmarkStart w:id="283" w:name="_Toc237336681"/>
      <w:r>
        <w:rPr>
          <w:rFonts w:cs="仿宋_GB2312"/>
        </w:rPr>
        <w:t>第四节</w:t>
      </w:r>
      <w:r>
        <w:rPr>
          <w:rFonts w:hint="eastAsia" w:cs="仿宋_GB2312"/>
        </w:rPr>
        <w:t xml:space="preserve"> </w:t>
      </w:r>
      <w:r>
        <w:rPr>
          <w:rFonts w:hint="eastAsia"/>
        </w:rPr>
        <w:t>打造体育强县</w:t>
      </w:r>
      <w:bookmarkEnd w:id="283"/>
    </w:p>
    <w:p w14:paraId="3B6B58BE">
      <w:pPr>
        <w:spacing w:line="600" w:lineRule="exact"/>
        <w:ind w:firstLine="643"/>
        <w:rPr>
          <w:rFonts w:cs="Times New Roman"/>
          <w:szCs w:val="40"/>
        </w:rPr>
      </w:pPr>
      <w:r>
        <w:rPr>
          <w:rFonts w:hint="eastAsia" w:cs="Times New Roman"/>
          <w:b/>
          <w:bCs/>
          <w:szCs w:val="40"/>
        </w:rPr>
        <w:t>以赛事激活全域动能</w:t>
      </w:r>
      <w:r>
        <w:rPr>
          <w:rFonts w:hint="eastAsia" w:cs="Times New Roman"/>
          <w:szCs w:val="40"/>
        </w:rPr>
        <w:t>。打造多维度赛事矩阵，积极承办全国公路自行车锦标赛及中国公路自行车联赛等国家级赛事，做强康平卧龙湖马拉松、金沙滩沙漠汽车越野赛、巴尔虎山越野跑、康平卧龙湖铁人三项公开赛等自主品牌赛事，谋划举办浆板、无动力滑板等水上竞技、辽河湿地徒步大会、万亩松森林定向越野等特色赛事，推动“赛事</w:t>
      </w:r>
      <w:r>
        <w:rPr>
          <w:rFonts w:cs="Times New Roman"/>
          <w:szCs w:val="40"/>
        </w:rPr>
        <w:t>+</w:t>
      </w:r>
      <w:r>
        <w:rPr>
          <w:rFonts w:hint="eastAsia" w:cs="Times New Roman"/>
          <w:szCs w:val="40"/>
        </w:rPr>
        <w:t>文旅”多元业态创新融合，形成“专业赛事树标杆、大众活动聚人气、文旅融合促消费”的体育发展模式。</w:t>
      </w:r>
    </w:p>
    <w:p w14:paraId="458BCFD2">
      <w:pPr>
        <w:spacing w:line="600" w:lineRule="exact"/>
        <w:ind w:firstLine="643"/>
        <w:rPr>
          <w:rFonts w:cs="仿宋"/>
          <w:szCs w:val="32"/>
        </w:rPr>
      </w:pPr>
      <w:r>
        <w:rPr>
          <w:rFonts w:hint="eastAsia" w:cs="仿宋"/>
          <w:b/>
          <w:szCs w:val="32"/>
        </w:rPr>
        <w:t>完善全民健身体系。</w:t>
      </w:r>
      <w:r>
        <w:rPr>
          <w:rFonts w:hint="eastAsia" w:cs="仿宋"/>
          <w:szCs w:val="32"/>
        </w:rPr>
        <w:t>建设县级大型体育公园和全民健身中心等户外体育场地，新建居住区按标准配套健身设施，实施乡镇（街道）、村（社区）健身设施提档升级工程。丰富全民健身体育活动，</w:t>
      </w:r>
      <w:r>
        <w:rPr>
          <w:rFonts w:hint="eastAsia" w:cs="Times New Roman"/>
          <w:szCs w:val="40"/>
        </w:rPr>
        <w:t>常态化举办全县综合性运动会、职工运动会、社区运动会等各级各类赛事，大力发展健步走、足球、篮球、乒乓球、羽毛球等特色活动。到2</w:t>
      </w:r>
      <w:r>
        <w:rPr>
          <w:rFonts w:cs="Times New Roman"/>
          <w:szCs w:val="40"/>
        </w:rPr>
        <w:t>030</w:t>
      </w:r>
      <w:r>
        <w:rPr>
          <w:rFonts w:hint="eastAsia" w:cs="Times New Roman"/>
          <w:szCs w:val="40"/>
        </w:rPr>
        <w:t>年，建成普惠性体育设施2个以上，实现“15分钟健身圈”城乡全覆盖。</w:t>
      </w:r>
    </w:p>
    <w:p w14:paraId="00446C60">
      <w:pPr>
        <w:spacing w:line="600" w:lineRule="exact"/>
        <w:ind w:firstLine="643"/>
        <w:rPr>
          <w:rFonts w:cs="仿宋"/>
          <w:szCs w:val="32"/>
        </w:rPr>
      </w:pPr>
      <w:r>
        <w:rPr>
          <w:rFonts w:hint="eastAsia" w:cs="仿宋"/>
          <w:b/>
          <w:szCs w:val="32"/>
        </w:rPr>
        <w:t>推动体育产业多元发展。</w:t>
      </w:r>
      <w:r>
        <w:rPr>
          <w:rFonts w:hint="eastAsia" w:cs="仿宋"/>
          <w:szCs w:val="32"/>
        </w:rPr>
        <w:t>加强体育设施建设，建设沈阳康平综合体育训练基地、自行车培训学校、跑步驿站等综合体育服务设施，建立常态化培训与管理机制，积极承接市级、省级运动队转训与赛事举办。发展体育用品制造业，深化与特步集团等龙头企业战略合作，建设配套体育装备生产基地，构建赛事、训练、产业协同发展的体育产业链。</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EA6E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7B00A186">
            <w:pPr>
              <w:pStyle w:val="25"/>
              <w:numPr>
                <w:ilvl w:val="0"/>
                <w:numId w:val="1"/>
              </w:numPr>
              <w:ind w:left="0" w:firstLine="0" w:firstLineChars="0"/>
              <w:jc w:val="center"/>
              <w:outlineLvl w:val="3"/>
              <w:rPr>
                <w:rFonts w:eastAsia="楷体"/>
                <w:b/>
                <w:sz w:val="28"/>
                <w:szCs w:val="28"/>
              </w:rPr>
            </w:pPr>
            <w:bookmarkStart w:id="284" w:name="OLE_LINK194"/>
            <w:bookmarkStart w:id="285" w:name="OLE_LINK195"/>
            <w:r>
              <w:rPr>
                <w:rFonts w:hint="eastAsia" w:eastAsia="楷体"/>
                <w:b/>
                <w:sz w:val="28"/>
                <w:szCs w:val="28"/>
              </w:rPr>
              <w:t>体育发展重点项目</w:t>
            </w:r>
            <w:bookmarkEnd w:id="284"/>
            <w:bookmarkEnd w:id="285"/>
          </w:p>
          <w:p w14:paraId="564392D3">
            <w:pPr>
              <w:spacing w:line="320" w:lineRule="exact"/>
              <w:ind w:firstLine="422"/>
              <w:rPr>
                <w:b/>
                <w:sz w:val="21"/>
                <w:szCs w:val="21"/>
              </w:rPr>
            </w:pPr>
            <w:r>
              <w:rPr>
                <w:b/>
                <w:sz w:val="21"/>
                <w:szCs w:val="21"/>
              </w:rPr>
              <w:t>1</w:t>
            </w:r>
            <w:r>
              <w:rPr>
                <w:rFonts w:hint="eastAsia"/>
                <w:b/>
                <w:sz w:val="21"/>
                <w:szCs w:val="21"/>
              </w:rPr>
              <w:t>.</w:t>
            </w:r>
            <w:bookmarkStart w:id="286" w:name="OLE_LINK223"/>
            <w:bookmarkStart w:id="287" w:name="OLE_LINK224"/>
            <w:r>
              <w:rPr>
                <w:rFonts w:hint="eastAsia"/>
                <w:b/>
                <w:sz w:val="21"/>
                <w:szCs w:val="21"/>
              </w:rPr>
              <w:t>高质量户外运动目的地项目</w:t>
            </w:r>
            <w:bookmarkEnd w:id="286"/>
            <w:bookmarkEnd w:id="287"/>
            <w:r>
              <w:rPr>
                <w:rFonts w:hint="eastAsia"/>
                <w:b/>
                <w:sz w:val="21"/>
                <w:szCs w:val="21"/>
              </w:rPr>
              <w:t>。</w:t>
            </w:r>
            <w:r>
              <w:rPr>
                <w:rFonts w:hint="eastAsia"/>
                <w:sz w:val="21"/>
                <w:szCs w:val="21"/>
              </w:rPr>
              <w:t>建设内容包括</w:t>
            </w:r>
            <w:r>
              <w:rPr>
                <w:rFonts w:hint="eastAsia"/>
                <w:bCs/>
                <w:sz w:val="21"/>
                <w:szCs w:val="21"/>
              </w:rPr>
              <w:t>巴尔虎山登山道建设、</w:t>
            </w:r>
            <w:r>
              <w:rPr>
                <w:rFonts w:hint="eastAsia"/>
                <w:sz w:val="21"/>
                <w:szCs w:val="21"/>
              </w:rPr>
              <w:t>全民健身中心、卧龙湖体育公园、卧龙湖标准田径跑道和标准足球场地、</w:t>
            </w:r>
            <w:r>
              <w:rPr>
                <w:rFonts w:hint="eastAsia"/>
                <w:bCs/>
                <w:sz w:val="21"/>
                <w:szCs w:val="21"/>
              </w:rPr>
              <w:t>卧龙湖健走道、骑行道等基础设施。</w:t>
            </w:r>
          </w:p>
          <w:p w14:paraId="01AC4C75">
            <w:pPr>
              <w:spacing w:line="320" w:lineRule="exact"/>
              <w:ind w:firstLine="422"/>
              <w:rPr>
                <w:b/>
                <w:sz w:val="21"/>
                <w:szCs w:val="21"/>
              </w:rPr>
            </w:pPr>
            <w:r>
              <w:rPr>
                <w:b/>
                <w:sz w:val="21"/>
                <w:szCs w:val="21"/>
              </w:rPr>
              <w:t>2</w:t>
            </w:r>
            <w:r>
              <w:rPr>
                <w:rFonts w:hint="eastAsia"/>
                <w:b/>
                <w:sz w:val="21"/>
                <w:szCs w:val="21"/>
              </w:rPr>
              <w:t>.康平县开发区产业工人保障性租赁住房改扩建项目。</w:t>
            </w:r>
            <w:r>
              <w:rPr>
                <w:rFonts w:hint="eastAsia"/>
                <w:sz w:val="21"/>
                <w:szCs w:val="21"/>
              </w:rPr>
              <w:t>将已建成的健康驿站改建为中小户型保障性租赁住房及体育赛事训练保障基地。</w:t>
            </w:r>
          </w:p>
        </w:tc>
      </w:tr>
    </w:tbl>
    <w:p w14:paraId="10DC6790">
      <w:pPr>
        <w:pStyle w:val="3"/>
        <w:spacing w:before="217" w:after="217"/>
        <w:rPr>
          <w:rFonts w:cs="仿宋_GB2312"/>
        </w:rPr>
      </w:pPr>
      <w:bookmarkStart w:id="288" w:name="_Toc237336682"/>
      <w:r>
        <w:rPr>
          <w:rFonts w:hint="eastAsia"/>
        </w:rPr>
        <w:t>第五节 持续推进文体旅高品质融合发展</w:t>
      </w:r>
      <w:bookmarkEnd w:id="288"/>
    </w:p>
    <w:p w14:paraId="22FCF829">
      <w:pPr>
        <w:spacing w:line="600" w:lineRule="exact"/>
        <w:ind w:firstLine="643"/>
        <w:rPr>
          <w:rFonts w:cs="Times New Roman"/>
          <w:bCs/>
          <w:szCs w:val="40"/>
        </w:rPr>
      </w:pPr>
      <w:r>
        <w:rPr>
          <w:rFonts w:hint="eastAsia" w:cs="Times New Roman"/>
          <w:b/>
          <w:bCs/>
          <w:szCs w:val="40"/>
        </w:rPr>
        <w:t>构建全域旅游空间布局。</w:t>
      </w:r>
      <w:r>
        <w:rPr>
          <w:rFonts w:hint="eastAsia" w:cs="Times New Roman"/>
          <w:szCs w:val="40"/>
        </w:rPr>
        <w:t>加快构</w:t>
      </w:r>
      <w:r>
        <w:rPr>
          <w:rFonts w:hint="eastAsia" w:cs="Times New Roman"/>
          <w:bCs/>
          <w:szCs w:val="40"/>
        </w:rPr>
        <w:t>建以旅游景区、旅游度假区、乡村旅游重点村等为特点的全域旅游布局。以卧龙湖为核心，建设集生态观光、休闲度假、科普教育于一体的国家级旅游度假区。推动辽河、巴尔虎山沿线旅游带建设，辽河湿地文化带重点发展生态旅游与文化研学、巴尔虎山运动休闲带聚焦户外赛事与康养度假，打造研学游、康养游等新业态。布局乡村旅游示范点，发展农耕体验、辽金民俗、红色旅游等。到2030年，年接待游客量突破300万人次。</w:t>
      </w:r>
    </w:p>
    <w:p w14:paraId="5967211D">
      <w:pPr>
        <w:spacing w:line="600" w:lineRule="exact"/>
        <w:ind w:firstLine="643"/>
        <w:rPr>
          <w:rFonts w:ascii="仿宋" w:hAnsi="仿宋" w:eastAsia="仿宋" w:cs="仿宋"/>
          <w:szCs w:val="32"/>
        </w:rPr>
      </w:pPr>
      <w:r>
        <w:rPr>
          <w:rFonts w:hint="eastAsia" w:cs="Times New Roman"/>
          <w:b/>
          <w:bCs/>
          <w:szCs w:val="40"/>
        </w:rPr>
        <w:t>拓展文体旅融合新场景。</w:t>
      </w:r>
      <w:r>
        <w:rPr>
          <w:rFonts w:hint="eastAsia" w:cs="Times New Roman"/>
          <w:szCs w:val="40"/>
        </w:rPr>
        <w:t>打造卧龙湖体育特色小镇，规划跑步、登山、骑行、露营等主题线路，建设高质量户外运动目的地。培育“民俗游+”特色IP，改造“北村民俗体验街区”，复原满族四合院、蒙古族毡房等特色建筑，增设蒸粘豆包、剪窗花、蒙古刺绣、二牛剪纸等非遗工坊8处。</w:t>
      </w:r>
      <w:r>
        <w:rPr>
          <w:rFonts w:hint="eastAsia" w:cs="仿宋"/>
          <w:szCs w:val="32"/>
        </w:rPr>
        <w:t>到2030年，培育1—2个省级知名文体旅融合品牌及IP、</w:t>
      </w:r>
      <w:r>
        <w:rPr>
          <w:rFonts w:cs="Times New Roman"/>
          <w:szCs w:val="32"/>
        </w:rPr>
        <w:t>1</w:t>
      </w:r>
      <w:r>
        <w:rPr>
          <w:rFonts w:hint="eastAsia" w:cs="Times New Roman"/>
          <w:szCs w:val="32"/>
        </w:rPr>
        <w:t>—</w:t>
      </w:r>
      <w:r>
        <w:rPr>
          <w:rFonts w:cs="Times New Roman"/>
          <w:szCs w:val="32"/>
        </w:rPr>
        <w:t>2</w:t>
      </w:r>
      <w:r>
        <w:rPr>
          <w:rFonts w:hint="eastAsia" w:cs="仿宋"/>
          <w:szCs w:val="32"/>
        </w:rPr>
        <w:t>家规模以上文旅企业，</w:t>
      </w:r>
      <w:r>
        <w:rPr>
          <w:rFonts w:hint="eastAsia" w:cs="Times New Roman"/>
          <w:szCs w:val="40"/>
        </w:rPr>
        <w:t>打造</w:t>
      </w:r>
      <w:r>
        <w:rPr>
          <w:rFonts w:cs="Times New Roman"/>
          <w:szCs w:val="40"/>
        </w:rPr>
        <w:t>2</w:t>
      </w:r>
      <w:r>
        <w:rPr>
          <w:rFonts w:hint="eastAsia" w:cs="仿宋_GB2312"/>
          <w:szCs w:val="32"/>
        </w:rPr>
        <w:t>—</w:t>
      </w:r>
      <w:r>
        <w:rPr>
          <w:rFonts w:cs="Times New Roman"/>
          <w:szCs w:val="40"/>
        </w:rPr>
        <w:t>3</w:t>
      </w:r>
      <w:r>
        <w:rPr>
          <w:rFonts w:hint="eastAsia" w:cs="Times New Roman"/>
          <w:szCs w:val="40"/>
        </w:rPr>
        <w:t>个农文体旅融合特色示范村。</w:t>
      </w:r>
    </w:p>
    <w:p w14:paraId="715D0F8A">
      <w:pPr>
        <w:spacing w:line="600" w:lineRule="exact"/>
        <w:ind w:firstLine="643"/>
        <w:rPr>
          <w:rFonts w:cs="Times New Roman"/>
          <w:szCs w:val="40"/>
        </w:rPr>
      </w:pPr>
      <w:r>
        <w:rPr>
          <w:rFonts w:hint="eastAsia" w:cs="Times New Roman"/>
          <w:b/>
          <w:bCs/>
          <w:szCs w:val="40"/>
        </w:rPr>
        <w:t>推动冰雪经济高质量发展</w:t>
      </w:r>
      <w:r>
        <w:rPr>
          <w:rFonts w:hint="eastAsia" w:cs="Times New Roman"/>
          <w:szCs w:val="40"/>
        </w:rPr>
        <w:t>。开展“康平全民冰雪乐动季”系列活动，高规格举办卧龙湖冰雪穿越赛、冰龙舟等标志性冰雪赛事。优化“祭湖醒网”仪式等冬捕非遗体验，打造“冬捕</w:t>
      </w:r>
      <w:r>
        <w:rPr>
          <w:rFonts w:cs="Times New Roman"/>
          <w:szCs w:val="40"/>
        </w:rPr>
        <w:t>+</w:t>
      </w:r>
      <w:r>
        <w:rPr>
          <w:rFonts w:hint="eastAsia" w:cs="Times New Roman"/>
          <w:szCs w:val="40"/>
        </w:rPr>
        <w:t>冰雪乐园”联动场景及辽北冰雪非遗民俗体验地。开发推广冰雪旅游特色打卡点、主题线路，升级“红炉暖街”快闪商业，新增“冰雪民俗周”活动，塑造城市冰雪文化品牌。</w:t>
      </w:r>
    </w:p>
    <w:p w14:paraId="534BF689">
      <w:pPr>
        <w:spacing w:line="600" w:lineRule="exact"/>
        <w:ind w:firstLine="643"/>
        <w:rPr>
          <w:rFonts w:cs="仿宋_GB2312"/>
          <w:szCs w:val="32"/>
        </w:rPr>
      </w:pPr>
      <w:r>
        <w:rPr>
          <w:rFonts w:hint="eastAsia" w:cs="仿宋_GB2312"/>
          <w:b/>
          <w:szCs w:val="32"/>
        </w:rPr>
        <w:t>提升旅游服务能级。</w:t>
      </w:r>
      <w:r>
        <w:rPr>
          <w:rFonts w:hint="eastAsia" w:cs="仿宋_GB2312"/>
          <w:szCs w:val="32"/>
        </w:rPr>
        <w:t>织密全域旅游观光路网，打通交通接驳“最后一公里”。实施景区强基焕新工程，推进旅游场景适老化与无障碍改造，增设无障碍通道、专用休息区及人性化辅助设施。推进“康平文旅云”平台升级，推动重点景区自有平台建设，提升旅游公共服务与接待水平。打造“康平游礼”文创品牌，推出柳编、蒲编等非遗伴手礼。</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203E5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1531B185">
            <w:pPr>
              <w:pStyle w:val="25"/>
              <w:numPr>
                <w:ilvl w:val="0"/>
                <w:numId w:val="1"/>
              </w:numPr>
              <w:ind w:left="0" w:firstLine="0" w:firstLineChars="0"/>
              <w:jc w:val="center"/>
              <w:outlineLvl w:val="3"/>
              <w:rPr>
                <w:rFonts w:eastAsia="楷体"/>
                <w:b/>
                <w:sz w:val="28"/>
                <w:szCs w:val="28"/>
              </w:rPr>
            </w:pPr>
            <w:r>
              <w:rPr>
                <w:rFonts w:hint="eastAsia" w:eastAsia="楷体"/>
                <w:b/>
                <w:sz w:val="28"/>
                <w:szCs w:val="28"/>
              </w:rPr>
              <w:t>文体旅融合重点项目</w:t>
            </w:r>
          </w:p>
          <w:p w14:paraId="5488BD03">
            <w:pPr>
              <w:spacing w:line="320" w:lineRule="exact"/>
              <w:ind w:firstLine="422"/>
              <w:rPr>
                <w:sz w:val="21"/>
                <w:szCs w:val="21"/>
              </w:rPr>
            </w:pPr>
            <w:r>
              <w:rPr>
                <w:rFonts w:hint="eastAsia"/>
                <w:b/>
                <w:sz w:val="21"/>
                <w:szCs w:val="21"/>
              </w:rPr>
              <w:t>1.</w:t>
            </w:r>
            <w:bookmarkStart w:id="289" w:name="OLE_LINK226"/>
            <w:r>
              <w:rPr>
                <w:rFonts w:hint="eastAsia"/>
                <w:b/>
                <w:sz w:val="21"/>
                <w:szCs w:val="21"/>
              </w:rPr>
              <w:t>生态旅游交通融合项目</w:t>
            </w:r>
            <w:bookmarkEnd w:id="289"/>
            <w:r>
              <w:rPr>
                <w:rFonts w:hint="eastAsia"/>
                <w:b/>
                <w:sz w:val="21"/>
                <w:szCs w:val="21"/>
              </w:rPr>
              <w:t>。</w:t>
            </w:r>
            <w:r>
              <w:rPr>
                <w:rFonts w:hint="eastAsia"/>
                <w:sz w:val="21"/>
                <w:szCs w:val="21"/>
              </w:rPr>
              <w:t>依托辽蒙阻沙带，规划建设观光旅游路，串联辽河国家湿地公园、万亩松生态旅游度假区、金沙滩沙漠公园、那尔苏陵园，结合生态治沙开发沙漠旅游、生态观光。</w:t>
            </w:r>
          </w:p>
          <w:p w14:paraId="79DE75CB">
            <w:pPr>
              <w:spacing w:line="320" w:lineRule="exact"/>
              <w:ind w:firstLine="422"/>
              <w:rPr>
                <w:b/>
                <w:sz w:val="21"/>
                <w:szCs w:val="21"/>
              </w:rPr>
            </w:pPr>
            <w:r>
              <w:rPr>
                <w:rFonts w:hint="eastAsia"/>
                <w:b/>
                <w:sz w:val="21"/>
                <w:szCs w:val="21"/>
              </w:rPr>
              <w:t>2</w:t>
            </w:r>
            <w:r>
              <w:rPr>
                <w:b/>
                <w:sz w:val="21"/>
                <w:szCs w:val="21"/>
              </w:rPr>
              <w:t>.</w:t>
            </w:r>
            <w:r>
              <w:rPr>
                <w:rFonts w:hint="eastAsia"/>
                <w:b/>
                <w:sz w:val="21"/>
                <w:szCs w:val="21"/>
              </w:rPr>
              <w:t>卧龙湖航运楼建设及运营项目。</w:t>
            </w:r>
            <w:r>
              <w:rPr>
                <w:rFonts w:hint="eastAsia"/>
                <w:sz w:val="21"/>
                <w:szCs w:val="21"/>
              </w:rPr>
              <w:t>完善卧龙湖文旅交通服务配套，提供购票、休憩、候船及屋顶景观区体验一体化服务。</w:t>
            </w:r>
          </w:p>
        </w:tc>
      </w:tr>
    </w:tbl>
    <w:p w14:paraId="7C16CF84">
      <w:pPr>
        <w:pStyle w:val="2"/>
        <w:spacing w:before="217" w:after="217"/>
        <w:rPr>
          <w:b w:val="0"/>
          <w:bCs/>
        </w:rPr>
      </w:pPr>
      <w:bookmarkStart w:id="290" w:name="_Toc237336683"/>
      <w:r>
        <w:rPr>
          <w:rFonts w:hint="eastAsia"/>
          <w:b w:val="0"/>
          <w:bCs/>
        </w:rPr>
        <w:t>第九章</w:t>
      </w:r>
      <w:r>
        <w:rPr>
          <w:b w:val="0"/>
          <w:bCs/>
        </w:rPr>
        <w:t xml:space="preserve"> </w:t>
      </w:r>
      <w:r>
        <w:rPr>
          <w:rFonts w:hint="eastAsia"/>
          <w:b w:val="0"/>
          <w:bCs/>
        </w:rPr>
        <w:t>持续增进民生福祉</w:t>
      </w:r>
      <w:r>
        <w:rPr>
          <w:b w:val="0"/>
          <w:bCs/>
        </w:rPr>
        <w:t xml:space="preserve"> </w:t>
      </w:r>
      <w:r>
        <w:rPr>
          <w:rFonts w:hint="eastAsia"/>
          <w:b w:val="0"/>
          <w:bCs/>
        </w:rPr>
        <w:t>营造可感可及的幸福生活</w:t>
      </w:r>
      <w:bookmarkEnd w:id="290"/>
    </w:p>
    <w:p w14:paraId="25AC9CFE">
      <w:pPr>
        <w:ind w:firstLine="640"/>
      </w:pPr>
      <w:r>
        <w:rPr>
          <w:rFonts w:hint="eastAsia"/>
        </w:rPr>
        <w:t>将改善人民生活、增进民生福祉作为出发点和落脚点，尽力而为、量力而行，稳步提高公共服务水平，推进民生保障向普惠性发展，持续增强人民群众的获得感、幸福感、安全感。</w:t>
      </w:r>
    </w:p>
    <w:p w14:paraId="27AF3F00">
      <w:pPr>
        <w:pStyle w:val="3"/>
        <w:spacing w:before="217" w:after="217"/>
      </w:pPr>
      <w:bookmarkStart w:id="291" w:name="_Toc237336684"/>
      <w:r>
        <w:rPr>
          <w:rFonts w:hint="eastAsia"/>
        </w:rPr>
        <w:t>第一节</w:t>
      </w:r>
      <w:r>
        <w:t xml:space="preserve"> </w:t>
      </w:r>
      <w:r>
        <w:rPr>
          <w:rFonts w:hint="eastAsia"/>
        </w:rPr>
        <w:t>促进高质量充分就业</w:t>
      </w:r>
      <w:bookmarkEnd w:id="291"/>
    </w:p>
    <w:p w14:paraId="4CA8B321">
      <w:pPr>
        <w:ind w:firstLine="643"/>
      </w:pPr>
      <w:r>
        <w:rPr>
          <w:rFonts w:hint="eastAsia"/>
          <w:b/>
        </w:rPr>
        <w:t>完善就业公共服务体系。</w:t>
      </w:r>
      <w:r>
        <w:rPr>
          <w:rFonts w:hint="eastAsia"/>
        </w:rPr>
        <w:t>扎实推进“舒心就业”社区和示范村屯创建工作，推动就业服务、业务办理和政策资源向基层下沉延伸。持续开展“春风行动”等线上线下招聘会及“直播带岗”专项活动，</w:t>
      </w:r>
      <w:r>
        <w:rPr>
          <w:rFonts w:hint="eastAsia" w:cs="Segoe UI"/>
          <w:shd w:val="clear" w:color="auto" w:fill="FFFFFF"/>
        </w:rPr>
        <w:t>精准服务各类群体就业需求</w:t>
      </w:r>
      <w:r>
        <w:rPr>
          <w:rFonts w:hint="eastAsia"/>
        </w:rPr>
        <w:t>。做强“康平管家”劳务品牌，引导农村劳动力和城镇未就业人员向新经济、新产业、新业态有序转移。强化创业担保贷款政策宣传推广，有效拓宽创业者融资渠道。到</w:t>
      </w:r>
      <w:r>
        <w:t>2030</w:t>
      </w:r>
      <w:r>
        <w:rPr>
          <w:rFonts w:hint="eastAsia"/>
        </w:rPr>
        <w:t>年，城镇新增就业人数</w:t>
      </w:r>
      <w:r>
        <w:t>8500</w:t>
      </w:r>
      <w:r>
        <w:rPr>
          <w:rFonts w:hint="eastAsia"/>
        </w:rPr>
        <w:t>人，农村劳动力转移输出</w:t>
      </w:r>
      <w:r>
        <w:t>3</w:t>
      </w:r>
      <w:r>
        <w:rPr>
          <w:rFonts w:hint="eastAsia"/>
        </w:rPr>
        <w:t>万人。</w:t>
      </w:r>
    </w:p>
    <w:p w14:paraId="67B009D9">
      <w:pPr>
        <w:ind w:firstLine="643"/>
      </w:pPr>
      <w:r>
        <w:rPr>
          <w:rFonts w:hint="eastAsia"/>
          <w:b/>
        </w:rPr>
        <w:t>全力促进重点群体就业。</w:t>
      </w:r>
      <w:r>
        <w:rPr>
          <w:rFonts w:hint="eastAsia"/>
        </w:rPr>
        <w:t>开展高校毕业生岗位对接活动，优化退役军人就业服务保障，完善农村劳动力转移就业帮扶措施。针对就业困难群体，实现及时发现、优先服务、精准帮扶、动态管理，确保零就业家庭动态清零。及时足额发放失业保险金、最低生活保障金和生活困难人员价格临时补贴，落实就业优惠政策，帮扶就业困难人员实现就业。到2</w:t>
      </w:r>
      <w:r>
        <w:t>030</w:t>
      </w:r>
      <w:r>
        <w:rPr>
          <w:rFonts w:hint="eastAsia"/>
        </w:rPr>
        <w:t>年，城乡登记失业人员控制在1</w:t>
      </w:r>
      <w:r>
        <w:t>500</w:t>
      </w:r>
      <w:r>
        <w:rPr>
          <w:rFonts w:hint="eastAsia"/>
        </w:rPr>
        <w:t>人以内。</w:t>
      </w:r>
    </w:p>
    <w:p w14:paraId="26EC71E9">
      <w:pPr>
        <w:ind w:firstLine="643"/>
        <w:rPr>
          <w:b/>
        </w:rPr>
      </w:pPr>
      <w:r>
        <w:rPr>
          <w:rFonts w:hint="eastAsia"/>
          <w:b/>
        </w:rPr>
        <w:t>加强就业人群权益保障。</w:t>
      </w:r>
      <w:r>
        <w:rPr>
          <w:rFonts w:hint="eastAsia"/>
        </w:rPr>
        <w:t>推动新就业形态从业人员权益保障，支持电商直播、外卖送餐员等新就业形态健康发展。实施新就业形态劳动者关爱工程，做好新就业形态劳动者劳动合同和书面协议的订立指引、劳动者休息和劳动报酬权益指引、劳动规则公示指引宣传工作，依法保障灵活就业人员权益。</w:t>
      </w:r>
    </w:p>
    <w:p w14:paraId="75AE0D29">
      <w:pPr>
        <w:pStyle w:val="3"/>
        <w:spacing w:before="217" w:after="217"/>
      </w:pPr>
      <w:bookmarkStart w:id="292" w:name="_Toc237336685"/>
      <w:r>
        <w:rPr>
          <w:rFonts w:hint="eastAsia"/>
        </w:rPr>
        <w:t>第二节</w:t>
      </w:r>
      <w:r>
        <w:t xml:space="preserve"> </w:t>
      </w:r>
      <w:r>
        <w:rPr>
          <w:rFonts w:hint="eastAsia"/>
        </w:rPr>
        <w:t>促进城乡居民增收</w:t>
      </w:r>
      <w:bookmarkEnd w:id="292"/>
    </w:p>
    <w:p w14:paraId="1DDD868C">
      <w:pPr>
        <w:ind w:firstLine="643"/>
      </w:pPr>
      <w:r>
        <w:rPr>
          <w:rFonts w:hint="eastAsia"/>
          <w:b/>
        </w:rPr>
        <w:t>提升城镇居民收入水平。</w:t>
      </w:r>
      <w:r>
        <w:rPr>
          <w:rFonts w:hint="eastAsia"/>
        </w:rPr>
        <w:t>完善劳动者工资决定、合理增长、支付保障机制，合理调整最低工资标准。加强企业工资收入分配宏观指导，引导企业合理增加一线劳动者劳动报酬和薪资水平。深化国有企业收入分配制度改革，持续完善事业单位绩效工资管理和薪酬分配改革。拓宽居民财产性收入渠道，探索通过资本等要素使用权、收益权增加收入。</w:t>
      </w:r>
    </w:p>
    <w:p w14:paraId="5B9B9471">
      <w:pPr>
        <w:ind w:firstLine="643"/>
      </w:pPr>
      <w:r>
        <w:rPr>
          <w:rFonts w:hint="eastAsia"/>
          <w:b/>
        </w:rPr>
        <w:t>加快农民增收步伐。</w:t>
      </w:r>
      <w:r>
        <w:rPr>
          <w:rFonts w:hint="eastAsia"/>
        </w:rPr>
        <w:t>落实农村集体产权与土地要素市场化改革，提高农村土地、集体股份财产性收入。建立健全利益联结机制，确保集体经济收益按比例向村民分红，优先吸纳村民参与集体资产运营管理，带动村民就业增收。实施农村创新创业带头人培育行动，鼓励外出务工人员、高校毕业生、退役军人和科技工作者等本土人才返乡创业。</w:t>
      </w:r>
    </w:p>
    <w:p w14:paraId="7B8C735D">
      <w:pPr>
        <w:pStyle w:val="3"/>
        <w:spacing w:before="217" w:after="217"/>
      </w:pPr>
      <w:bookmarkStart w:id="293" w:name="_Toc237336686"/>
      <w:r>
        <w:rPr>
          <w:rFonts w:hint="eastAsia"/>
        </w:rPr>
        <w:t>第三节</w:t>
      </w:r>
      <w:r>
        <w:t xml:space="preserve"> </w:t>
      </w:r>
      <w:r>
        <w:rPr>
          <w:rFonts w:hint="eastAsia"/>
        </w:rPr>
        <w:t>提升“一老一小”服务能力</w:t>
      </w:r>
      <w:bookmarkEnd w:id="293"/>
    </w:p>
    <w:p w14:paraId="0949C64F">
      <w:pPr>
        <w:ind w:firstLine="643"/>
      </w:pPr>
      <w:r>
        <w:rPr>
          <w:rFonts w:hint="eastAsia"/>
          <w:b/>
        </w:rPr>
        <w:t>构建高质量养老服务体系。</w:t>
      </w:r>
      <w:r>
        <w:rPr>
          <w:rFonts w:hint="eastAsia"/>
        </w:rPr>
        <w:t>优化县域养老服务资源配置，推进省级县域养老服务体系创新试点项目建设，构建县乡村户四级养老服务网络。深化公办养老机构运营体制改革，推进公建民营、“开门办院”。深化医养康养结合，支持医疗卫生机构延伸开展医养结合服务。积极推进适老化改造，打造以居家为基础、社区为依托、机构为支撑的养老服务供给格局，启动实施长期护理保险制度。加大养老服务人才培养，提高养老服务质量。到</w:t>
      </w:r>
      <w:r>
        <w:t>2030</w:t>
      </w:r>
      <w:r>
        <w:rPr>
          <w:rFonts w:hint="eastAsia"/>
        </w:rPr>
        <w:t>年，养老机构护理型床位达到</w:t>
      </w:r>
      <w:r>
        <w:t>80%</w:t>
      </w:r>
      <w:r>
        <w:rPr>
          <w:rFonts w:hint="eastAsia"/>
        </w:rPr>
        <w:t>。</w:t>
      </w:r>
    </w:p>
    <w:p w14:paraId="6080E9C6">
      <w:pPr>
        <w:ind w:firstLine="643"/>
        <w:rPr>
          <w:b/>
        </w:rPr>
      </w:pPr>
      <w:r>
        <w:rPr>
          <w:rFonts w:hint="eastAsia"/>
          <w:b/>
        </w:rPr>
        <w:t>培育壮大银发经济。</w:t>
      </w:r>
      <w:r>
        <w:rPr>
          <w:rFonts w:hint="eastAsia"/>
        </w:rPr>
        <w:t>拓宽消费渠道，常态化开展“养老服务消费促进月”“银发大集”等主题活动，促进老年人消费。培育潜力产业，大力开展旅居养老等旅游服务业态。推动县域国企转型布局养老产业，定制“一企一策”扶持方案，整合医疗、康养、文旅等资源，提供差异化养老服务。</w:t>
      </w:r>
    </w:p>
    <w:p w14:paraId="5956379E">
      <w:pPr>
        <w:ind w:firstLine="643"/>
      </w:pPr>
      <w:r>
        <w:rPr>
          <w:rFonts w:hint="eastAsia"/>
          <w:b/>
        </w:rPr>
        <w:t>提高生育托育服务供给能力。</w:t>
      </w:r>
      <w:r>
        <w:rPr>
          <w:rFonts w:hint="eastAsia"/>
        </w:rPr>
        <w:t>提升优生优育服务水平，落实生育政策和生育制度，加强妇女和儿童健康服务，推进县妇幼保健中心标准化建设和规范化管理。发展多元化普惠托育服务，鼓励社会力量参与开展普惠托育和托幼一体化服务，积极发展嵌入式托育点，显著增加公建托位数量，基本满足群众普惠托育服务需求。到2</w:t>
      </w:r>
      <w:r>
        <w:t>030</w:t>
      </w:r>
      <w:r>
        <w:rPr>
          <w:rFonts w:hint="eastAsia"/>
        </w:rPr>
        <w:t>年，每千人拥有3岁以下婴幼儿托位数达到5个。</w:t>
      </w:r>
    </w:p>
    <w:p w14:paraId="2A28A3BB">
      <w:pPr>
        <w:pStyle w:val="3"/>
        <w:spacing w:before="217" w:after="217"/>
      </w:pPr>
      <w:bookmarkStart w:id="294" w:name="_Toc237336687"/>
      <w:r>
        <w:rPr>
          <w:rFonts w:hint="eastAsia"/>
        </w:rPr>
        <w:t>第四节</w:t>
      </w:r>
      <w:r>
        <w:t xml:space="preserve"> </w:t>
      </w:r>
      <w:r>
        <w:rPr>
          <w:rFonts w:hint="eastAsia"/>
        </w:rPr>
        <w:t>办好人民满意教育</w:t>
      </w:r>
      <w:bookmarkEnd w:id="294"/>
    </w:p>
    <w:p w14:paraId="6B4AA9DA">
      <w:pPr>
        <w:ind w:firstLine="643"/>
        <w:rPr>
          <w:rFonts w:eastAsia="仿宋" w:cs="楷体_GB2312"/>
          <w:b/>
          <w:bCs/>
          <w:szCs w:val="32"/>
        </w:rPr>
      </w:pPr>
      <w:bookmarkStart w:id="295" w:name="OLE_LINK159"/>
      <w:bookmarkStart w:id="296" w:name="OLE_LINK158"/>
      <w:r>
        <w:rPr>
          <w:rFonts w:hint="eastAsia"/>
          <w:b/>
        </w:rPr>
        <w:t>扎实推进立德树人根本任务。</w:t>
      </w:r>
      <w:r>
        <w:rPr>
          <w:rFonts w:hint="eastAsia"/>
        </w:rPr>
        <w:t>完善中小学思政课一体化建设工作机制，充分利用红色资源建好用好“大思政”实践教学基地。健全德智体美劳全面培养体系和学校家庭社会协同育人体系，提升学生“三个健康”水平。推动教育家精神贯穿教师教书育人各个环节，优化校级领导队伍建设，健全师德师风建设长效机制，实施名师培育工程，全面提升教师业务能力素质，构建“省市级名师—骨干教师—青年教师”阶梯式培养体系，夯实教育教学高质量发展基础。</w:t>
      </w:r>
    </w:p>
    <w:bookmarkEnd w:id="295"/>
    <w:bookmarkEnd w:id="296"/>
    <w:p w14:paraId="63976FBD">
      <w:pPr>
        <w:ind w:firstLine="643"/>
        <w:rPr>
          <w:rFonts w:eastAsia="仿宋" w:cs="楷体_GB2312"/>
          <w:bCs/>
          <w:szCs w:val="32"/>
        </w:rPr>
      </w:pPr>
      <w:r>
        <w:rPr>
          <w:rFonts w:hint="eastAsia"/>
          <w:b/>
        </w:rPr>
        <w:t>健全基本公共教育服务体系。</w:t>
      </w:r>
      <w:r>
        <w:rPr>
          <w:rFonts w:hint="eastAsia"/>
        </w:rPr>
        <w:t>加快推进学前教育优质普惠发展，逐步推行免费学前教育政策，普惠性幼儿园覆盖率达到</w:t>
      </w:r>
      <w:r>
        <w:t>92%</w:t>
      </w:r>
      <w:r>
        <w:rPr>
          <w:rFonts w:hint="eastAsia"/>
        </w:rPr>
        <w:t>以上。全面推进义务教育优质均衡发展，逐步改善义务教育学校办学条件，通过义务教育优质均衡发展省级评估验收。支持普通高中多样化特色化发展，普通高中优质学位占比达到</w:t>
      </w:r>
      <w:r>
        <w:t>100%</w:t>
      </w:r>
      <w:r>
        <w:rPr>
          <w:rFonts w:hint="eastAsia"/>
        </w:rPr>
        <w:t>。推动特殊教育优质融合发展，切实保障残疾人受教育权利，残疾儿童教育安置率达到</w:t>
      </w:r>
      <w:r>
        <w:t>100%</w:t>
      </w:r>
      <w:r>
        <w:rPr>
          <w:rFonts w:hint="eastAsia"/>
        </w:rPr>
        <w:t>。</w:t>
      </w:r>
    </w:p>
    <w:p w14:paraId="017E7651">
      <w:pPr>
        <w:ind w:firstLine="643"/>
      </w:pPr>
      <w:r>
        <w:rPr>
          <w:rFonts w:hint="eastAsia"/>
          <w:b/>
        </w:rPr>
        <w:t>构建产教融合的职教体系。</w:t>
      </w:r>
      <w:r>
        <w:rPr>
          <w:rFonts w:hint="eastAsia"/>
        </w:rPr>
        <w:t>加强综合高中建设，以职普融通拓宽学生成长成才通道，打造以沈阳生物化工产业园等产业园区为依托的市域产教融合联合体和行业产教融合共同体，支持园区企业、高职院校与县中职学校共建产业学院，实现“教学</w:t>
      </w:r>
      <w:r>
        <w:t>+</w:t>
      </w:r>
      <w:r>
        <w:rPr>
          <w:rFonts w:hint="eastAsia"/>
        </w:rPr>
        <w:t>实习</w:t>
      </w:r>
      <w:r>
        <w:t>+</w:t>
      </w:r>
      <w:r>
        <w:rPr>
          <w:rFonts w:hint="eastAsia"/>
        </w:rPr>
        <w:t>就业”无缝衔接。建立专业动态调整机制，推动职业教育专业设置与绿色能源、生物制造等产业精准对接，提升服务产业发展能力。</w:t>
      </w:r>
    </w:p>
    <w:p w14:paraId="71AD1629">
      <w:pPr>
        <w:ind w:firstLine="643"/>
      </w:pPr>
      <w:r>
        <w:rPr>
          <w:rFonts w:hint="eastAsia"/>
          <w:b/>
        </w:rPr>
        <w:t>完善基础教育资源统筹调配机制。</w:t>
      </w:r>
      <w:r>
        <w:rPr>
          <w:rFonts w:hint="eastAsia"/>
        </w:rPr>
        <w:t>优化全县教育资源布局，动态监测康平县学龄人口变化趋势，构建契合人口变化的教育资源调配机制，平稳有序推进东关小学、康平镇九年一贯制学校等小规模学校整合撤并。深入实施基础教育扩优提质工程，提升中心城区学校承载能力。优化城乡教师资源配置，健全编制总量控制、岗位动态调整机制，促进教师城乡间、校际间有序流动。</w:t>
      </w:r>
    </w:p>
    <w:p w14:paraId="45B1DDC4">
      <w:pPr>
        <w:pStyle w:val="3"/>
        <w:spacing w:before="217" w:after="217"/>
      </w:pPr>
      <w:bookmarkStart w:id="297" w:name="_Toc237336688"/>
      <w:r>
        <w:rPr>
          <w:rFonts w:hint="eastAsia"/>
        </w:rPr>
        <w:t>第五节</w:t>
      </w:r>
      <w:r>
        <w:t xml:space="preserve"> </w:t>
      </w:r>
      <w:r>
        <w:rPr>
          <w:rFonts w:hint="eastAsia"/>
        </w:rPr>
        <w:t>提高全民健康水平</w:t>
      </w:r>
      <w:bookmarkEnd w:id="297"/>
    </w:p>
    <w:p w14:paraId="1A0CD47F">
      <w:pPr>
        <w:ind w:firstLine="643"/>
      </w:pPr>
      <w:r>
        <w:rPr>
          <w:rFonts w:hint="eastAsia"/>
          <w:b/>
        </w:rPr>
        <w:t>深化医药卫生体制改革。</w:t>
      </w:r>
      <w:bookmarkStart w:id="298" w:name="OLE_LINK282"/>
      <w:r>
        <w:rPr>
          <w:rFonts w:hint="eastAsia"/>
        </w:rPr>
        <w:t>系统推进医保支付、医疗服务价格、药品供应保障等关键环节改革。</w:t>
      </w:r>
      <w:bookmarkEnd w:id="298"/>
      <w:r>
        <w:rPr>
          <w:rFonts w:hint="eastAsia"/>
        </w:rPr>
        <w:t>持续深化推进职工医保门诊共济改革。落实药品集中采购制度，降低药品和耗材费用。推动县公立医院提升运行管理能力，进一步完善医疗质量、绩效考核、远程医疗管理等现代化医院管理制度。全方位提升急诊急救血液保障等应急能力。到2</w:t>
      </w:r>
      <w:r>
        <w:t>030</w:t>
      </w:r>
      <w:r>
        <w:rPr>
          <w:rFonts w:hint="eastAsia"/>
        </w:rPr>
        <w:t>年，县域城乡居民医疗保险覆盖率达到98%以上。</w:t>
      </w:r>
    </w:p>
    <w:p w14:paraId="18F3CB77">
      <w:pPr>
        <w:ind w:firstLine="643"/>
      </w:pPr>
      <w:r>
        <w:rPr>
          <w:rFonts w:hint="eastAsia"/>
          <w:b/>
        </w:rPr>
        <w:t>巩固提高医疗服务能力。</w:t>
      </w:r>
      <w:r>
        <w:rPr>
          <w:rFonts w:hint="eastAsia"/>
        </w:rPr>
        <w:t>持续推进县域医共体建设，加强与省内外优质医疗资源合作，强化县人民医院辽宁省（县域）重点专科建设，加强人才队伍建设，培养一批学科技术带头人，提升医共体医护人员整体服务能力和水平，将县人民医院打造成为辽吉蒙结合部一流县级医院。提升基础医疗设施诊疗能力，15个乡镇（街道）卫生院和161个村卫生室全部达到建强标准，其中4个重点乡镇中心卫生院均建成2个特色优势专科，服务能力达到二级医院水平。提升中医药服务能力，县公立中医院建成中医特色优势专科，满足群众中医医疗服务需求。</w:t>
      </w:r>
    </w:p>
    <w:p w14:paraId="3ED137A5">
      <w:pPr>
        <w:ind w:firstLine="643"/>
      </w:pPr>
      <w:r>
        <w:rPr>
          <w:rFonts w:hint="eastAsia"/>
          <w:b/>
        </w:rPr>
        <w:t>加强公共卫生体系建设。</w:t>
      </w:r>
      <w:r>
        <w:rPr>
          <w:rFonts w:hint="eastAsia"/>
        </w:rPr>
        <w:t>提升公共卫生能力，持续加强重大传染病、慢性病、地方病、职业病、精神病等疾病防控力度，强化疫苗接种、心理健康和精神卫生服务工作。健全传染病监测预警体系，提升传染病诊断处置能力。完善突发公共卫生事件应急处置、物资保障等全链条防控机制，增强卫生应急处置和物资保障能力。提升爱国卫生运动成效，加强健康教育宣传，持续提升居民健康素养。到2030年，县域儿童甲肝、乙肝疫苗全程接种率持续保持在95%及以上，慢性乙肝、丙肝患者诊断率均达80%及以上，医疗机构安全注射比例达100%。力争全人群家庭医生签约率达到62.5%，重点人群签约率达到82.5%，基本实现高血压、糖尿病等慢性病患者管理全覆盖。</w:t>
      </w:r>
    </w:p>
    <w:p w14:paraId="5B442248">
      <w:pPr>
        <w:pStyle w:val="3"/>
        <w:spacing w:before="217" w:after="217"/>
      </w:pPr>
      <w:bookmarkStart w:id="299" w:name="_Toc237336689"/>
      <w:r>
        <w:rPr>
          <w:rFonts w:hint="eastAsia"/>
        </w:rPr>
        <w:t>第六节</w:t>
      </w:r>
      <w:r>
        <w:t xml:space="preserve"> </w:t>
      </w:r>
      <w:r>
        <w:rPr>
          <w:rFonts w:hint="eastAsia"/>
        </w:rPr>
        <w:t>兜准兜牢民生底线</w:t>
      </w:r>
      <w:bookmarkEnd w:id="299"/>
    </w:p>
    <w:p w14:paraId="4883A18E">
      <w:pPr>
        <w:ind w:firstLine="643"/>
        <w:rPr>
          <w:rFonts w:cs="仿宋"/>
          <w:b/>
          <w:bCs/>
          <w:szCs w:val="32"/>
        </w:rPr>
      </w:pPr>
      <w:r>
        <w:rPr>
          <w:rFonts w:cs="仿宋"/>
          <w:b/>
          <w:bCs/>
          <w:szCs w:val="32"/>
        </w:rPr>
        <w:t>推动社会保险扩面增效。</w:t>
      </w:r>
      <w:r>
        <w:rPr>
          <w:rFonts w:hint="eastAsia" w:cs="Times New Roman"/>
        </w:rPr>
        <w:t>深入实施全民参保计划，</w:t>
      </w:r>
      <w:r>
        <w:rPr>
          <w:rFonts w:cs="Times New Roman"/>
        </w:rPr>
        <w:t>稳妥有序推进渐进式延迟法定退休年龄改革，</w:t>
      </w:r>
      <w:r>
        <w:rPr>
          <w:rFonts w:hint="eastAsia" w:cs="Times New Roman"/>
        </w:rPr>
        <w:t>聚焦农民工、灵活就业人员和新业态从业人员等重点群体，促进符合条件人员自愿参保、可持续缴费。促进养老多层次发展，加快构建以基本养老保险为基础，以企业年金为补充，与个人储蓄性养老保险和商业养老保险相衔接的“三支柱”养老保险体系，提升全体参保人员养老保障水平。</w:t>
      </w:r>
      <w:r>
        <w:rPr>
          <w:rFonts w:cs="Times New Roman"/>
        </w:rPr>
        <w:t>完善医保制度体系，建立长期护理保险制度，完善生育保险政策，优化医保经办服务流程，加强基层医保服务能力建设，打造</w:t>
      </w:r>
      <w:r>
        <w:rPr>
          <w:rFonts w:hint="eastAsia" w:cs="Times New Roman"/>
        </w:rPr>
        <w:t>“</w:t>
      </w:r>
      <w:r>
        <w:rPr>
          <w:rFonts w:cs="Times New Roman"/>
        </w:rPr>
        <w:t>15分钟医保服务圈</w:t>
      </w:r>
      <w:r>
        <w:rPr>
          <w:rFonts w:hint="eastAsia" w:cs="Times New Roman"/>
        </w:rPr>
        <w:t>”</w:t>
      </w:r>
      <w:r>
        <w:rPr>
          <w:rFonts w:cs="Times New Roman"/>
        </w:rPr>
        <w:t>，推进医保电子凭证的广泛应用</w:t>
      </w:r>
      <w:r>
        <w:rPr>
          <w:rFonts w:hint="eastAsia" w:cs="Times New Roman"/>
        </w:rPr>
        <w:t>。到2</w:t>
      </w:r>
      <w:r>
        <w:rPr>
          <w:rFonts w:cs="Times New Roman"/>
        </w:rPr>
        <w:t>030</w:t>
      </w:r>
      <w:r>
        <w:rPr>
          <w:rFonts w:hint="eastAsia" w:cs="Times New Roman"/>
        </w:rPr>
        <w:t>年，</w:t>
      </w:r>
      <w:r>
        <w:rPr>
          <w:rFonts w:cs="Times New Roman"/>
        </w:rPr>
        <w:t>保持社会</w:t>
      </w:r>
      <w:r>
        <w:t>保障政策覆盖率100%</w:t>
      </w:r>
      <w:r>
        <w:rPr>
          <w:rFonts w:hint="eastAsia"/>
        </w:rPr>
        <w:t>。</w:t>
      </w:r>
    </w:p>
    <w:p w14:paraId="7349CD4D">
      <w:pPr>
        <w:ind w:firstLine="643"/>
        <w:rPr>
          <w:rFonts w:cs="仿宋"/>
          <w:bCs/>
          <w:szCs w:val="32"/>
        </w:rPr>
      </w:pPr>
      <w:r>
        <w:rPr>
          <w:rFonts w:cs="仿宋"/>
          <w:b/>
          <w:bCs/>
          <w:szCs w:val="32"/>
        </w:rPr>
        <w:t>构建全方位的社会救助体系。</w:t>
      </w:r>
      <w:r>
        <w:rPr>
          <w:rFonts w:cs="仿宋"/>
          <w:bCs/>
          <w:szCs w:val="32"/>
        </w:rPr>
        <w:t>高质量完成防止返贫帮扶政策和低收入人口常态化帮扶政策衔接并轨试点工作，确保防返贫监测对象同低收入人口政策帮扶</w:t>
      </w:r>
      <w:r>
        <w:rPr>
          <w:rFonts w:hint="eastAsia" w:cs="仿宋"/>
          <w:bCs/>
          <w:szCs w:val="32"/>
        </w:rPr>
        <w:t>平稳过渡。完善分层分类</w:t>
      </w:r>
      <w:r>
        <w:rPr>
          <w:rFonts w:cs="仿宋"/>
          <w:bCs/>
          <w:szCs w:val="32"/>
        </w:rPr>
        <w:t>社会救助体系，统筹推进基本生活救助、专项救助和临时救助等多元方式。</w:t>
      </w:r>
      <w:r>
        <w:rPr>
          <w:rFonts w:hint="eastAsia" w:cs="仿宋"/>
          <w:bCs/>
          <w:szCs w:val="32"/>
        </w:rPr>
        <w:t>扩大社会救助覆盖面，推动救助政策向低保边缘家庭和刚性支出困难家庭延伸。</w:t>
      </w:r>
      <w:r>
        <w:rPr>
          <w:rFonts w:cs="仿宋"/>
          <w:bCs/>
          <w:szCs w:val="32"/>
        </w:rPr>
        <w:t>发展公益慈善事业，推动慈善组织建设，鼓励有条件的社会组织设立专项基金。</w:t>
      </w:r>
    </w:p>
    <w:p w14:paraId="761564E1">
      <w:pPr>
        <w:ind w:firstLine="643"/>
        <w:rPr>
          <w:rFonts w:cs="仿宋"/>
          <w:bCs/>
          <w:szCs w:val="32"/>
        </w:rPr>
      </w:pPr>
      <w:r>
        <w:rPr>
          <w:rFonts w:cs="仿宋"/>
          <w:b/>
          <w:bCs/>
          <w:szCs w:val="32"/>
        </w:rPr>
        <w:t>提高重点群体关爱服务水平。</w:t>
      </w:r>
      <w:r>
        <w:rPr>
          <w:rFonts w:cs="仿宋"/>
          <w:bCs/>
          <w:szCs w:val="32"/>
        </w:rPr>
        <w:t>促进妇女儿童全面发展，实施困难妇女儿童关爱工程，</w:t>
      </w:r>
      <w:r>
        <w:rPr>
          <w:rFonts w:hint="eastAsia" w:cs="仿宋"/>
          <w:bCs/>
          <w:szCs w:val="32"/>
        </w:rPr>
        <w:t>关爱探访率达到100%，实现</w:t>
      </w:r>
      <w:r>
        <w:rPr>
          <w:rFonts w:cs="仿宋"/>
          <w:bCs/>
          <w:szCs w:val="32"/>
        </w:rPr>
        <w:t>孤儿和事实无人抚养儿童</w:t>
      </w:r>
      <w:r>
        <w:rPr>
          <w:rFonts w:hint="eastAsia" w:cs="仿宋"/>
          <w:bCs/>
          <w:szCs w:val="32"/>
        </w:rPr>
        <w:t>生活</w:t>
      </w:r>
      <w:r>
        <w:rPr>
          <w:rFonts w:cs="仿宋"/>
          <w:bCs/>
          <w:szCs w:val="32"/>
        </w:rPr>
        <w:t>保障</w:t>
      </w:r>
      <w:r>
        <w:rPr>
          <w:rFonts w:hint="eastAsia" w:cs="仿宋"/>
          <w:bCs/>
          <w:szCs w:val="32"/>
        </w:rPr>
        <w:t>标准与经济社会发展水平同步提高</w:t>
      </w:r>
      <w:r>
        <w:rPr>
          <w:rFonts w:cs="仿宋"/>
          <w:bCs/>
          <w:szCs w:val="32"/>
        </w:rPr>
        <w:t>。完善退役军人优抚制度，提高补助标准。探索残疾人两项补贴动态调整机制，实现补贴标准与经济</w:t>
      </w:r>
      <w:r>
        <w:rPr>
          <w:rFonts w:hint="eastAsia" w:cs="仿宋"/>
          <w:bCs/>
          <w:szCs w:val="32"/>
        </w:rPr>
        <w:t>社会发展水平均衡增长</w:t>
      </w:r>
      <w:r>
        <w:rPr>
          <w:rFonts w:cs="仿宋"/>
          <w:bCs/>
          <w:szCs w:val="32"/>
        </w:rPr>
        <w:t>。</w:t>
      </w:r>
    </w:p>
    <w:p w14:paraId="0A5BFF03">
      <w:pPr>
        <w:ind w:firstLine="643"/>
        <w:rPr>
          <w:rFonts w:cs="仿宋"/>
          <w:szCs w:val="32"/>
        </w:rPr>
      </w:pPr>
      <w:r>
        <w:rPr>
          <w:rFonts w:cs="仿宋"/>
          <w:b/>
          <w:bCs/>
          <w:szCs w:val="32"/>
        </w:rPr>
        <w:t>完善住房保障体系。</w:t>
      </w:r>
      <w:r>
        <w:rPr>
          <w:rFonts w:cs="仿宋"/>
          <w:bCs/>
          <w:szCs w:val="32"/>
        </w:rPr>
        <w:t>拓</w:t>
      </w:r>
      <w:r>
        <w:rPr>
          <w:rFonts w:cs="仿宋"/>
          <w:szCs w:val="32"/>
        </w:rPr>
        <w:t>宽房源筹集方式，健全保障性住房供应体系。加大公租房保障力度，以租赁补贴为主，实物配租为辅，优化分配机制。建立各类保障性房源的动态转化与配置机制，盘活存量资源。支持在康平</w:t>
      </w:r>
      <w:r>
        <w:rPr>
          <w:rFonts w:hint="eastAsia" w:cs="仿宋"/>
          <w:szCs w:val="32"/>
        </w:rPr>
        <w:t>县</w:t>
      </w:r>
      <w:r>
        <w:rPr>
          <w:rFonts w:cs="仿宋"/>
          <w:szCs w:val="32"/>
        </w:rPr>
        <w:t>灵活就业人员缴存住房公积金，加大住房公积金租房提取支持力度。</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14F2DE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56F8B47">
            <w:pPr>
              <w:pStyle w:val="25"/>
              <w:numPr>
                <w:ilvl w:val="0"/>
                <w:numId w:val="1"/>
              </w:numPr>
              <w:ind w:left="0" w:firstLine="0" w:firstLineChars="0"/>
              <w:jc w:val="center"/>
              <w:outlineLvl w:val="3"/>
              <w:rPr>
                <w:sz w:val="21"/>
                <w:szCs w:val="21"/>
              </w:rPr>
            </w:pPr>
            <w:r>
              <w:rPr>
                <w:rFonts w:hint="eastAsia" w:eastAsia="楷体"/>
                <w:b/>
                <w:sz w:val="28"/>
                <w:szCs w:val="28"/>
              </w:rPr>
              <w:t>民生福祉重点项目</w:t>
            </w:r>
          </w:p>
          <w:p w14:paraId="17A96786">
            <w:pPr>
              <w:spacing w:line="320" w:lineRule="exact"/>
              <w:ind w:firstLine="422"/>
              <w:rPr>
                <w:sz w:val="21"/>
                <w:szCs w:val="21"/>
              </w:rPr>
            </w:pPr>
            <w:r>
              <w:rPr>
                <w:rFonts w:hint="eastAsia"/>
                <w:b/>
                <w:sz w:val="21"/>
                <w:szCs w:val="21"/>
              </w:rPr>
              <w:t>1</w:t>
            </w:r>
            <w:r>
              <w:rPr>
                <w:b/>
                <w:sz w:val="21"/>
                <w:szCs w:val="21"/>
              </w:rPr>
              <w:t>.</w:t>
            </w:r>
            <w:r>
              <w:rPr>
                <w:rFonts w:hint="eastAsia"/>
                <w:b/>
                <w:sz w:val="21"/>
                <w:szCs w:val="21"/>
              </w:rPr>
              <w:t>康平高中教育设备更新及基础设施改造项目。</w:t>
            </w:r>
            <w:r>
              <w:rPr>
                <w:rFonts w:hint="eastAsia"/>
                <w:sz w:val="21"/>
                <w:szCs w:val="21"/>
              </w:rPr>
              <w:t>建设内容包括智慧教育系统、教育综合安防平台、基础设施改造等。</w:t>
            </w:r>
          </w:p>
          <w:p w14:paraId="3DDC3467">
            <w:pPr>
              <w:spacing w:line="320" w:lineRule="exact"/>
              <w:ind w:firstLine="422"/>
              <w:rPr>
                <w:sz w:val="21"/>
                <w:szCs w:val="21"/>
              </w:rPr>
            </w:pPr>
            <w:r>
              <w:rPr>
                <w:b/>
                <w:sz w:val="21"/>
                <w:szCs w:val="21"/>
              </w:rPr>
              <w:t>2.</w:t>
            </w:r>
            <w:r>
              <w:rPr>
                <w:rFonts w:hint="eastAsia"/>
                <w:b/>
                <w:sz w:val="21"/>
                <w:szCs w:val="21"/>
              </w:rPr>
              <w:t>康平县人民医院改扩建项目。</w:t>
            </w:r>
            <w:r>
              <w:rPr>
                <w:rFonts w:hint="eastAsia"/>
                <w:sz w:val="21"/>
                <w:szCs w:val="21"/>
              </w:rPr>
              <w:t>康平县人民医院现有场地内新建病房楼一座。</w:t>
            </w:r>
          </w:p>
          <w:p w14:paraId="1CA20741">
            <w:pPr>
              <w:spacing w:line="320" w:lineRule="exact"/>
              <w:ind w:firstLine="422"/>
              <w:rPr>
                <w:sz w:val="21"/>
                <w:szCs w:val="21"/>
              </w:rPr>
            </w:pPr>
            <w:r>
              <w:rPr>
                <w:b/>
                <w:sz w:val="21"/>
                <w:szCs w:val="21"/>
              </w:rPr>
              <w:t>3.</w:t>
            </w:r>
            <w:r>
              <w:rPr>
                <w:rFonts w:hint="eastAsia"/>
                <w:b/>
                <w:sz w:val="21"/>
                <w:szCs w:val="21"/>
              </w:rPr>
              <w:t>康平县人民医院信息化设施迭代升级项目。</w:t>
            </w:r>
            <w:r>
              <w:rPr>
                <w:rFonts w:hint="eastAsia"/>
                <w:sz w:val="21"/>
                <w:szCs w:val="21"/>
              </w:rPr>
              <w:t>涵盖</w:t>
            </w:r>
            <w:r>
              <w:rPr>
                <w:sz w:val="21"/>
                <w:szCs w:val="21"/>
              </w:rPr>
              <w:t>his</w:t>
            </w:r>
            <w:r>
              <w:rPr>
                <w:rFonts w:hint="eastAsia"/>
                <w:sz w:val="21"/>
                <w:szCs w:val="21"/>
              </w:rPr>
              <w:t>、</w:t>
            </w:r>
            <w:r>
              <w:rPr>
                <w:sz w:val="21"/>
                <w:szCs w:val="21"/>
              </w:rPr>
              <w:t>emr</w:t>
            </w:r>
            <w:r>
              <w:rPr>
                <w:rFonts w:hint="eastAsia"/>
                <w:sz w:val="21"/>
                <w:szCs w:val="21"/>
              </w:rPr>
              <w:t>、</w:t>
            </w:r>
            <w:r>
              <w:rPr>
                <w:sz w:val="21"/>
                <w:szCs w:val="21"/>
              </w:rPr>
              <w:t>pacs</w:t>
            </w:r>
            <w:r>
              <w:rPr>
                <w:rFonts w:hint="eastAsia"/>
                <w:sz w:val="21"/>
                <w:szCs w:val="21"/>
              </w:rPr>
              <w:t>系统升级，医院信息集成平台，</w:t>
            </w:r>
            <w:r>
              <w:rPr>
                <w:sz w:val="21"/>
                <w:szCs w:val="21"/>
              </w:rPr>
              <w:t>CDSS</w:t>
            </w:r>
            <w:r>
              <w:rPr>
                <w:rFonts w:hint="eastAsia"/>
                <w:sz w:val="21"/>
                <w:szCs w:val="21"/>
              </w:rPr>
              <w:t>临床决策系统，无纸化病案系统，病历内涵质控系统，全流程病理系统，康复系统、三级医院评审等。</w:t>
            </w:r>
          </w:p>
          <w:p w14:paraId="37977AE3">
            <w:pPr>
              <w:spacing w:line="320" w:lineRule="exact"/>
              <w:ind w:firstLine="422"/>
              <w:rPr>
                <w:sz w:val="21"/>
                <w:szCs w:val="21"/>
              </w:rPr>
            </w:pPr>
            <w:r>
              <w:rPr>
                <w:b/>
                <w:sz w:val="21"/>
                <w:szCs w:val="21"/>
              </w:rPr>
              <w:t>4.</w:t>
            </w:r>
            <w:r>
              <w:rPr>
                <w:rFonts w:hint="eastAsia"/>
                <w:b/>
                <w:sz w:val="21"/>
                <w:szCs w:val="21"/>
              </w:rPr>
              <w:t>康平县人民医院诊疗能力提升项目。</w:t>
            </w:r>
            <w:r>
              <w:rPr>
                <w:rFonts w:hint="eastAsia"/>
                <w:sz w:val="21"/>
                <w:szCs w:val="21"/>
              </w:rPr>
              <w:t>计划与“头部”医院开展专科共建，进一步提升全县神经外科、消化内科、心脏内科、妇产科等科室诊疗能力。</w:t>
            </w:r>
          </w:p>
          <w:p w14:paraId="264A1278">
            <w:pPr>
              <w:spacing w:line="320" w:lineRule="exact"/>
              <w:ind w:firstLine="422"/>
              <w:rPr>
                <w:sz w:val="21"/>
                <w:szCs w:val="21"/>
              </w:rPr>
            </w:pPr>
            <w:r>
              <w:rPr>
                <w:b/>
                <w:sz w:val="21"/>
                <w:szCs w:val="21"/>
              </w:rPr>
              <w:t>5.</w:t>
            </w:r>
            <w:r>
              <w:rPr>
                <w:rFonts w:hint="eastAsia"/>
                <w:b/>
                <w:sz w:val="21"/>
                <w:szCs w:val="21"/>
              </w:rPr>
              <w:t>康平县紧密型县域医共体服务能力提升项目。</w:t>
            </w:r>
            <w:r>
              <w:rPr>
                <w:rFonts w:hint="eastAsia"/>
                <w:sz w:val="21"/>
                <w:szCs w:val="21"/>
              </w:rPr>
              <w:t>建设内容包括县人民医院病房维修改造，并购置医疗设备。</w:t>
            </w:r>
          </w:p>
          <w:p w14:paraId="2562EF18">
            <w:pPr>
              <w:spacing w:line="320" w:lineRule="exact"/>
              <w:ind w:firstLine="422"/>
              <w:rPr>
                <w:sz w:val="21"/>
                <w:szCs w:val="21"/>
              </w:rPr>
            </w:pPr>
            <w:r>
              <w:rPr>
                <w:b/>
                <w:sz w:val="21"/>
                <w:szCs w:val="21"/>
              </w:rPr>
              <w:t>6.</w:t>
            </w:r>
            <w:r>
              <w:rPr>
                <w:rFonts w:hint="eastAsia"/>
                <w:b/>
                <w:sz w:val="21"/>
                <w:szCs w:val="21"/>
              </w:rPr>
              <w:t>康平县精神病医院改扩建项目。</w:t>
            </w:r>
            <w:r>
              <w:rPr>
                <w:rFonts w:hint="eastAsia"/>
                <w:sz w:val="21"/>
                <w:szCs w:val="21"/>
              </w:rPr>
              <w:t>拟拆除现有附属用房，新建病房楼，建设范围包括土建工程、装修工程、给排水工程、暖通工程、电气工程等，并购置医疗设备。</w:t>
            </w:r>
          </w:p>
          <w:p w14:paraId="1404EF38">
            <w:pPr>
              <w:spacing w:line="320" w:lineRule="exact"/>
              <w:ind w:firstLine="422"/>
              <w:rPr>
                <w:sz w:val="21"/>
                <w:szCs w:val="21"/>
              </w:rPr>
            </w:pPr>
            <w:r>
              <w:rPr>
                <w:rFonts w:hint="eastAsia"/>
                <w:b/>
                <w:sz w:val="21"/>
                <w:szCs w:val="21"/>
              </w:rPr>
              <w:t>7</w:t>
            </w:r>
            <w:r>
              <w:rPr>
                <w:b/>
                <w:sz w:val="21"/>
                <w:szCs w:val="21"/>
              </w:rPr>
              <w:t>.</w:t>
            </w:r>
            <w:r>
              <w:rPr>
                <w:rFonts w:hint="eastAsia"/>
                <w:b/>
                <w:sz w:val="21"/>
                <w:szCs w:val="21"/>
              </w:rPr>
              <w:t>沈阳市康平县殡仪馆服务提升新建项目。</w:t>
            </w:r>
            <w:r>
              <w:rPr>
                <w:rFonts w:hint="eastAsia"/>
                <w:bCs/>
                <w:sz w:val="21"/>
                <w:szCs w:val="21"/>
              </w:rPr>
              <w:t>包含火化车间、焚烧区、附属房等设施的殡仪馆，拆除原告别厅、原火化车间及原存放间等。</w:t>
            </w:r>
          </w:p>
        </w:tc>
      </w:tr>
      <w:bookmarkEnd w:id="136"/>
      <w:bookmarkEnd w:id="244"/>
      <w:bookmarkEnd w:id="245"/>
      <w:bookmarkEnd w:id="246"/>
    </w:tbl>
    <w:p w14:paraId="20194468">
      <w:pPr>
        <w:pStyle w:val="2"/>
        <w:spacing w:before="217" w:after="217"/>
        <w:rPr>
          <w:b w:val="0"/>
          <w:bCs/>
        </w:rPr>
      </w:pPr>
      <w:bookmarkStart w:id="300" w:name="_Toc237336690"/>
      <w:bookmarkStart w:id="301" w:name="OLE_LINK323"/>
      <w:bookmarkStart w:id="302" w:name="OLE_LINK242"/>
      <w:bookmarkStart w:id="303" w:name="OLE_LINK245"/>
      <w:bookmarkStart w:id="304" w:name="OLE_LINK463"/>
      <w:r>
        <w:rPr>
          <w:rFonts w:hint="eastAsia"/>
          <w:b w:val="0"/>
          <w:bCs/>
        </w:rPr>
        <w:t>第十章</w:t>
      </w:r>
      <w:r>
        <w:rPr>
          <w:b w:val="0"/>
          <w:bCs/>
        </w:rPr>
        <w:t xml:space="preserve"> </w:t>
      </w:r>
      <w:bookmarkStart w:id="305" w:name="OLE_LINK217"/>
      <w:bookmarkStart w:id="306" w:name="OLE_LINK216"/>
      <w:r>
        <w:rPr>
          <w:rFonts w:hint="eastAsia"/>
          <w:b w:val="0"/>
          <w:bCs/>
        </w:rPr>
        <w:t>加强生态文明建设</w:t>
      </w:r>
      <w:r>
        <w:rPr>
          <w:b w:val="0"/>
          <w:bCs/>
        </w:rPr>
        <w:t xml:space="preserve"> </w:t>
      </w:r>
      <w:r>
        <w:rPr>
          <w:rFonts w:hint="eastAsia"/>
          <w:b w:val="0"/>
          <w:bCs/>
        </w:rPr>
        <w:t>推动经济社会绿色转型发展</w:t>
      </w:r>
      <w:bookmarkEnd w:id="300"/>
      <w:bookmarkEnd w:id="305"/>
      <w:bookmarkEnd w:id="306"/>
    </w:p>
    <w:bookmarkEnd w:id="301"/>
    <w:bookmarkEnd w:id="302"/>
    <w:bookmarkEnd w:id="303"/>
    <w:p w14:paraId="0376D13C">
      <w:pPr>
        <w:ind w:firstLine="640"/>
      </w:pPr>
      <w:r>
        <w:rPr>
          <w:rFonts w:hint="eastAsia"/>
        </w:rPr>
        <w:t>以碳达峰为引领，以科尔沁沙地歼灭战为核心，统筹山水林田湖草沙系统治理，加快经济社会发展全面绿色转型，创建生态文明建设示范区。</w:t>
      </w:r>
    </w:p>
    <w:p w14:paraId="6953C22C">
      <w:pPr>
        <w:pStyle w:val="3"/>
        <w:spacing w:before="217" w:after="217"/>
      </w:pPr>
      <w:bookmarkStart w:id="307" w:name="_Toc237336691"/>
      <w:bookmarkStart w:id="308" w:name="OLE_LINK27"/>
      <w:bookmarkStart w:id="309" w:name="_Toc211957139"/>
      <w:r>
        <w:rPr>
          <w:rFonts w:hint="eastAsia"/>
        </w:rPr>
        <w:t>第一节</w:t>
      </w:r>
      <w:r>
        <w:t xml:space="preserve"> </w:t>
      </w:r>
      <w:r>
        <w:rPr>
          <w:rFonts w:hint="eastAsia"/>
        </w:rPr>
        <w:t>全面提升生态环境质量</w:t>
      </w:r>
      <w:bookmarkEnd w:id="307"/>
    </w:p>
    <w:bookmarkEnd w:id="308"/>
    <w:p w14:paraId="0951283D">
      <w:pPr>
        <w:ind w:firstLine="643"/>
      </w:pPr>
      <w:r>
        <w:rPr>
          <w:rFonts w:hint="eastAsia"/>
          <w:b/>
          <w:bCs/>
          <w:szCs w:val="32"/>
        </w:rPr>
        <w:t>持续加大大气环境治理力度。</w:t>
      </w:r>
      <w:r>
        <w:rPr>
          <w:rFonts w:hint="eastAsia"/>
          <w:bCs/>
          <w:szCs w:val="32"/>
        </w:rPr>
        <w:t>有效降低颗粒物浓度，</w:t>
      </w:r>
      <w:r>
        <w:rPr>
          <w:rFonts w:hint="eastAsia"/>
        </w:rPr>
        <w:t>落实空气质量持续改善行动计划，加强工业污染源深度治理，全面推行超低排放改造与提标升级。推进秸秆焚烧精准管控，建立县、乡、村、组四级网格化管理体系。到</w:t>
      </w:r>
      <w:r>
        <w:t>2030</w:t>
      </w:r>
      <w:r>
        <w:rPr>
          <w:rFonts w:hint="eastAsia"/>
        </w:rPr>
        <w:t>年，空气质量优良天数比率保持8</w:t>
      </w:r>
      <w:r>
        <w:t>5%</w:t>
      </w:r>
      <w:r>
        <w:rPr>
          <w:rFonts w:hint="eastAsia"/>
        </w:rPr>
        <w:t>。</w:t>
      </w:r>
    </w:p>
    <w:p w14:paraId="7FD62CD2">
      <w:pPr>
        <w:ind w:firstLine="643"/>
        <w:rPr>
          <w:szCs w:val="32"/>
        </w:rPr>
      </w:pPr>
      <w:bookmarkStart w:id="310" w:name="_Hlk212314703"/>
      <w:r>
        <w:rPr>
          <w:rFonts w:hint="eastAsia"/>
          <w:b/>
          <w:bCs/>
          <w:szCs w:val="32"/>
        </w:rPr>
        <w:t>有效改善水环境质量。</w:t>
      </w:r>
      <w:bookmarkEnd w:id="310"/>
      <w:r>
        <w:rPr>
          <w:rFonts w:hint="eastAsia"/>
          <w:szCs w:val="32"/>
        </w:rPr>
        <w:t>推进全流域水质改善，强化河湖生态修复，加强入河排污口监管，持续开展河湖“清四乱”专项行动，八家子河、秀水河等主要河流水质稳定达到</w:t>
      </w:r>
      <w:r>
        <w:rPr>
          <w:rFonts w:cs="Times New Roman"/>
          <w:szCs w:val="32"/>
        </w:rPr>
        <w:t>Ⅳ</w:t>
      </w:r>
      <w:r>
        <w:rPr>
          <w:rFonts w:hint="eastAsia"/>
          <w:szCs w:val="32"/>
        </w:rPr>
        <w:t>类水质标准，力争达到</w:t>
      </w:r>
      <w:r>
        <w:rPr>
          <w:rFonts w:cs="Times New Roman"/>
          <w:szCs w:val="32"/>
        </w:rPr>
        <w:t>Ⅲ</w:t>
      </w:r>
      <w:r>
        <w:rPr>
          <w:rFonts w:hint="eastAsia"/>
          <w:szCs w:val="32"/>
        </w:rPr>
        <w:t>类水质。加强饮用水水源地保护，持续推进集中式饮用水水源地规范化建设，全县集中式饮用水水源地水质达标率保持</w:t>
      </w:r>
      <w:r>
        <w:rPr>
          <w:szCs w:val="32"/>
        </w:rPr>
        <w:t>100%</w:t>
      </w:r>
      <w:r>
        <w:rPr>
          <w:rFonts w:hint="eastAsia"/>
          <w:szCs w:val="32"/>
        </w:rPr>
        <w:t>。</w:t>
      </w:r>
    </w:p>
    <w:p w14:paraId="4CE67C71">
      <w:pPr>
        <w:ind w:firstLine="643"/>
        <w:rPr>
          <w:szCs w:val="32"/>
        </w:rPr>
      </w:pPr>
      <w:bookmarkStart w:id="311" w:name="_Hlk212314709"/>
      <w:r>
        <w:rPr>
          <w:rFonts w:hint="eastAsia"/>
          <w:b/>
          <w:bCs/>
          <w:szCs w:val="32"/>
        </w:rPr>
        <w:t>扎实开展土壤污染防控。</w:t>
      </w:r>
      <w:bookmarkEnd w:id="311"/>
      <w:r>
        <w:rPr>
          <w:rFonts w:hint="eastAsia"/>
          <w:szCs w:val="32"/>
        </w:rPr>
        <w:t>加强土壤污染源头防控，加大对土壤污染违法行为的打击力度，建立健全土壤污染防治部门联动机制。到</w:t>
      </w:r>
      <w:r>
        <w:rPr>
          <w:szCs w:val="32"/>
        </w:rPr>
        <w:t>2030</w:t>
      </w:r>
      <w:r>
        <w:rPr>
          <w:rFonts w:hint="eastAsia"/>
          <w:szCs w:val="32"/>
        </w:rPr>
        <w:t>年，土壤环境质量总体保持稳定，土壤环境风险得到有效管控，危险废物安全处置及重点建设用地安全利用率保持</w:t>
      </w:r>
      <w:r>
        <w:rPr>
          <w:szCs w:val="32"/>
        </w:rPr>
        <w:t>100%</w:t>
      </w:r>
      <w:r>
        <w:rPr>
          <w:rFonts w:hint="eastAsia"/>
          <w:szCs w:val="32"/>
        </w:rPr>
        <w:t>。</w:t>
      </w:r>
    </w:p>
    <w:p w14:paraId="1B5CADBB">
      <w:pPr>
        <w:pStyle w:val="3"/>
        <w:spacing w:before="217" w:after="217"/>
      </w:pPr>
      <w:bookmarkStart w:id="312" w:name="_Toc211957141"/>
      <w:bookmarkStart w:id="313" w:name="_Toc237336692"/>
      <w:bookmarkStart w:id="314" w:name="_Hlk212314713"/>
      <w:r>
        <w:rPr>
          <w:rFonts w:hint="eastAsia"/>
        </w:rPr>
        <w:t>第二节</w:t>
      </w:r>
      <w:r>
        <w:t xml:space="preserve"> </w:t>
      </w:r>
      <w:bookmarkStart w:id="315" w:name="OLE_LINK291"/>
      <w:bookmarkStart w:id="316" w:name="OLE_LINK292"/>
      <w:r>
        <w:rPr>
          <w:rFonts w:hint="eastAsia"/>
        </w:rPr>
        <w:t>大力推进</w:t>
      </w:r>
      <w:bookmarkEnd w:id="312"/>
      <w:bookmarkEnd w:id="315"/>
      <w:bookmarkEnd w:id="316"/>
      <w:r>
        <w:rPr>
          <w:rFonts w:hint="eastAsia"/>
        </w:rPr>
        <w:t>“无废城市”建设</w:t>
      </w:r>
      <w:bookmarkEnd w:id="313"/>
    </w:p>
    <w:bookmarkEnd w:id="314"/>
    <w:p w14:paraId="7D92406D">
      <w:pPr>
        <w:ind w:firstLine="643"/>
      </w:pPr>
      <w:bookmarkStart w:id="317" w:name="_Hlk212314717"/>
      <w:bookmarkStart w:id="318" w:name="OLE_LINK319"/>
      <w:bookmarkStart w:id="319" w:name="OLE_LINK320"/>
      <w:r>
        <w:rPr>
          <w:rFonts w:hint="eastAsia"/>
          <w:b/>
          <w:bCs/>
        </w:rPr>
        <w:t>推进全域无废现代化治理。</w:t>
      </w:r>
      <w:bookmarkEnd w:id="317"/>
      <w:bookmarkStart w:id="320" w:name="OLE_LINK121"/>
      <w:r>
        <w:rPr>
          <w:rFonts w:hint="eastAsia"/>
        </w:rPr>
        <w:t>建立县乡村三级联动体系，</w:t>
      </w:r>
      <w:bookmarkEnd w:id="320"/>
      <w:r>
        <w:rPr>
          <w:rFonts w:hint="eastAsia"/>
        </w:rPr>
        <w:t>构建“重点区域精细管、偏远村屯无遗漏、城乡标准相统一”环卫治理格局。升级“户分类、村收集、乡转运、县处理”模式，完善“分类投放</w:t>
      </w:r>
      <w:r>
        <w:rPr>
          <w:rFonts w:hint="eastAsia" w:cs="仿宋_GB2312"/>
          <w:szCs w:val="32"/>
        </w:rPr>
        <w:t>—</w:t>
      </w:r>
      <w:r>
        <w:rPr>
          <w:rFonts w:hint="eastAsia"/>
        </w:rPr>
        <w:t>密闭收集</w:t>
      </w:r>
      <w:r>
        <w:rPr>
          <w:rFonts w:hint="eastAsia" w:cs="仿宋_GB2312"/>
          <w:szCs w:val="32"/>
        </w:rPr>
        <w:t>—</w:t>
      </w:r>
      <w:r>
        <w:rPr>
          <w:rFonts w:hint="eastAsia"/>
        </w:rPr>
        <w:t>压缩转运</w:t>
      </w:r>
      <w:r>
        <w:rPr>
          <w:rFonts w:hint="eastAsia" w:cs="仿宋_GB2312"/>
          <w:szCs w:val="32"/>
        </w:rPr>
        <w:t>—</w:t>
      </w:r>
      <w:r>
        <w:rPr>
          <w:rFonts w:hint="eastAsia"/>
        </w:rPr>
        <w:t>焚烧发电</w:t>
      </w:r>
      <w:r>
        <w:rPr>
          <w:rFonts w:hint="eastAsia" w:cs="仿宋_GB2312"/>
          <w:szCs w:val="32"/>
        </w:rPr>
        <w:t>—</w:t>
      </w:r>
      <w:r>
        <w:rPr>
          <w:rFonts w:hint="eastAsia"/>
        </w:rPr>
        <w:t>残渣无害化”全链条体系。健全长效保障机制，落实财政资金投入，推动环卫服务专业化、市场化运营。</w:t>
      </w:r>
    </w:p>
    <w:bookmarkEnd w:id="318"/>
    <w:bookmarkEnd w:id="319"/>
    <w:p w14:paraId="2C8207E1">
      <w:pPr>
        <w:ind w:firstLine="643"/>
        <w:rPr>
          <w:kern w:val="0"/>
        </w:rPr>
      </w:pPr>
      <w:r>
        <w:rPr>
          <w:rFonts w:hint="eastAsia"/>
          <w:b/>
          <w:bCs/>
        </w:rPr>
        <w:t>构建工业固废资源化循环体系</w:t>
      </w:r>
      <w:r>
        <w:rPr>
          <w:rFonts w:hint="eastAsia"/>
        </w:rPr>
        <w:t>。提升工业固废综合利用水平，推进中水回用增效减排，力争实现全域工业固体废物全量化处理。</w:t>
      </w:r>
      <w:r>
        <w:rPr>
          <w:rFonts w:hint="eastAsia"/>
          <w:kern w:val="0"/>
        </w:rPr>
        <w:t>做好重点建设用地全流程监管，鼓励企业加大技术创新投入，推动工业固废资源化产业规模化、规范化发展。到2</w:t>
      </w:r>
      <w:r>
        <w:rPr>
          <w:kern w:val="0"/>
        </w:rPr>
        <w:t>030</w:t>
      </w:r>
      <w:r>
        <w:rPr>
          <w:rFonts w:hint="eastAsia"/>
          <w:kern w:val="0"/>
        </w:rPr>
        <w:t>年，工业固废综合利用率提升至85%，安全利用率达到100%。</w:t>
      </w:r>
    </w:p>
    <w:p w14:paraId="3888E460">
      <w:pPr>
        <w:ind w:firstLine="643"/>
        <w:rPr>
          <w:b/>
          <w:bCs/>
        </w:rPr>
      </w:pPr>
      <w:r>
        <w:rPr>
          <w:rFonts w:cs="仿宋_GB2312"/>
          <w:b/>
          <w:bCs/>
          <w:szCs w:val="32"/>
        </w:rPr>
        <w:t>推进畜禽粪污资源化利用</w:t>
      </w:r>
      <w:r>
        <w:rPr>
          <w:rFonts w:hint="eastAsia" w:cs="仿宋_GB2312"/>
          <w:b/>
          <w:bCs/>
          <w:szCs w:val="32"/>
        </w:rPr>
        <w:t>。</w:t>
      </w:r>
      <w:r>
        <w:rPr>
          <w:rFonts w:hint="eastAsia" w:cs="仿宋_GB2312"/>
          <w:bCs/>
          <w:szCs w:val="32"/>
        </w:rPr>
        <w:t>以</w:t>
      </w:r>
      <w:r>
        <w:rPr>
          <w:rFonts w:hint="eastAsia" w:cs="仿宋_GB2312"/>
          <w:szCs w:val="32"/>
        </w:rPr>
        <w:t>畜禽粪污资源化利用整县推进项目为核心载体</w:t>
      </w:r>
      <w:r>
        <w:rPr>
          <w:rFonts w:cs="仿宋_GB2312"/>
          <w:szCs w:val="32"/>
        </w:rPr>
        <w:t>，</w:t>
      </w:r>
      <w:r>
        <w:rPr>
          <w:rFonts w:hint="eastAsia" w:cs="仿宋_GB2312"/>
          <w:szCs w:val="32"/>
        </w:rPr>
        <w:t>进一步</w:t>
      </w:r>
      <w:r>
        <w:rPr>
          <w:rFonts w:cs="仿宋_GB2312"/>
          <w:szCs w:val="32"/>
        </w:rPr>
        <w:t>完善畜禽粪污资源化收运处置体系，健全粪污利用长效管护机制，提升资源化利用率，</w:t>
      </w:r>
      <w:r>
        <w:rPr>
          <w:rFonts w:hint="eastAsia" w:cs="仿宋_GB2312"/>
          <w:szCs w:val="32"/>
        </w:rPr>
        <w:t>打造具备康平特色、</w:t>
      </w:r>
      <w:bookmarkStart w:id="321" w:name="OLE_LINK275"/>
      <w:r>
        <w:rPr>
          <w:rFonts w:cs="仿宋_GB2312"/>
          <w:szCs w:val="32"/>
        </w:rPr>
        <w:t>可复制推广的畜禽粪污治理模式</w:t>
      </w:r>
      <w:bookmarkEnd w:id="321"/>
      <w:r>
        <w:rPr>
          <w:rFonts w:hint="eastAsia" w:cs="仿宋_GB2312"/>
          <w:szCs w:val="32"/>
        </w:rPr>
        <w:t>，畜禽粪污资源化利用率稳定在90%以上</w:t>
      </w:r>
      <w:r>
        <w:rPr>
          <w:rFonts w:cs="仿宋_GB2312"/>
          <w:szCs w:val="32"/>
        </w:rPr>
        <w:t>。</w:t>
      </w:r>
    </w:p>
    <w:p w14:paraId="42B30F94">
      <w:pPr>
        <w:ind w:firstLine="643"/>
        <w:rPr>
          <w:szCs w:val="32"/>
        </w:rPr>
      </w:pPr>
      <w:r>
        <w:rPr>
          <w:rFonts w:hint="eastAsia"/>
          <w:b/>
          <w:bCs/>
          <w:szCs w:val="32"/>
        </w:rPr>
        <w:t>加强建筑与生活垃圾处理。</w:t>
      </w:r>
      <w:bookmarkStart w:id="322" w:name="OLE_LINK119"/>
      <w:r>
        <w:rPr>
          <w:rFonts w:hint="eastAsia"/>
          <w:szCs w:val="32"/>
        </w:rPr>
        <w:t>提高建筑垃圾资源化利用水平，引育一批固体废弃物资源化利用骨干企业，促进建筑垃圾回收再利用。强化全链条垃圾资源化利用体系建设，补齐生活垃圾终端处理设施短板，构建废旧纺织品、塑料等可回收物市场化回收网络</w:t>
      </w:r>
      <w:bookmarkEnd w:id="322"/>
      <w:r>
        <w:rPr>
          <w:rFonts w:hint="eastAsia"/>
          <w:szCs w:val="32"/>
        </w:rPr>
        <w:t>。</w:t>
      </w:r>
      <w:bookmarkStart w:id="323" w:name="OLE_LINK17"/>
      <w:bookmarkStart w:id="324" w:name="OLE_LINK20"/>
      <w:r>
        <w:rPr>
          <w:rFonts w:hint="eastAsia"/>
          <w:szCs w:val="32"/>
        </w:rPr>
        <w:t>到</w:t>
      </w:r>
      <w:r>
        <w:rPr>
          <w:szCs w:val="32"/>
        </w:rPr>
        <w:t>2030</w:t>
      </w:r>
      <w:r>
        <w:rPr>
          <w:rFonts w:hint="eastAsia"/>
          <w:szCs w:val="32"/>
        </w:rPr>
        <w:t>年，</w:t>
      </w:r>
      <w:bookmarkStart w:id="325" w:name="OLE_LINK15"/>
      <w:bookmarkStart w:id="326" w:name="OLE_LINK4"/>
      <w:r>
        <w:rPr>
          <w:rFonts w:hint="eastAsia"/>
          <w:szCs w:val="32"/>
        </w:rPr>
        <w:t>城市生活垃圾资源化利用率</w:t>
      </w:r>
      <w:bookmarkEnd w:id="325"/>
      <w:bookmarkEnd w:id="326"/>
      <w:r>
        <w:rPr>
          <w:rFonts w:hint="eastAsia"/>
          <w:szCs w:val="32"/>
        </w:rPr>
        <w:t>达到</w:t>
      </w:r>
      <w:r>
        <w:rPr>
          <w:szCs w:val="32"/>
        </w:rPr>
        <w:t>87%</w:t>
      </w:r>
      <w:r>
        <w:rPr>
          <w:rFonts w:hint="eastAsia"/>
          <w:szCs w:val="32"/>
        </w:rPr>
        <w:t>以上。</w:t>
      </w:r>
    </w:p>
    <w:p w14:paraId="4FC8CB8D">
      <w:pPr>
        <w:ind w:firstLine="643"/>
        <w:rPr>
          <w:sz w:val="21"/>
          <w:szCs w:val="21"/>
        </w:rPr>
      </w:pPr>
      <w:r>
        <w:rPr>
          <w:rFonts w:hint="eastAsia"/>
          <w:b/>
          <w:bCs/>
        </w:rPr>
        <w:t>推进重点领域绿色低碳转型。</w:t>
      </w:r>
      <w:r>
        <w:rPr>
          <w:rFonts w:hint="eastAsia"/>
        </w:rPr>
        <w:t>加快产业绿色化转型升级，落实固定资产投资项目节能审查制度，有效管控高耗能、高排放项目，构建从生产到运营的零碳功能网络，推进零碳园区建设实施。推动农业生产绿色转型，发展种养结合循环农业，完善农业废弃物回收处理体系。强化建设领域绿色转型，推广应用高性能绿色建筑、智能建造、清洁低碳供热等关键技术，鼓励实施既有建筑节能和绿色低碳化改造。建设绿色交通基础设施，加快城镇充换电设施网络布局。</w:t>
      </w:r>
    </w:p>
    <w:bookmarkEnd w:id="323"/>
    <w:bookmarkEnd w:id="324"/>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32B13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2CFF2DFE">
            <w:pPr>
              <w:pStyle w:val="25"/>
              <w:numPr>
                <w:ilvl w:val="0"/>
                <w:numId w:val="1"/>
              </w:numPr>
              <w:ind w:firstLineChars="0"/>
              <w:jc w:val="center"/>
              <w:outlineLvl w:val="3"/>
              <w:rPr>
                <w:rFonts w:eastAsia="楷体"/>
                <w:b/>
                <w:sz w:val="28"/>
                <w:szCs w:val="28"/>
              </w:rPr>
            </w:pPr>
            <w:bookmarkStart w:id="327" w:name="OLE_LINK151"/>
            <w:bookmarkStart w:id="328" w:name="OLE_LINK334"/>
            <w:bookmarkStart w:id="329" w:name="OLE_LINK333"/>
            <w:r>
              <w:rPr>
                <w:rFonts w:hint="eastAsia" w:eastAsia="楷体"/>
                <w:b/>
                <w:sz w:val="28"/>
                <w:szCs w:val="28"/>
              </w:rPr>
              <w:t>“无废城市”建设</w:t>
            </w:r>
            <w:bookmarkEnd w:id="327"/>
            <w:r>
              <w:rPr>
                <w:rFonts w:hint="eastAsia" w:eastAsia="楷体"/>
                <w:b/>
                <w:sz w:val="28"/>
                <w:szCs w:val="28"/>
              </w:rPr>
              <w:t>重点项目</w:t>
            </w:r>
          </w:p>
          <w:p w14:paraId="01957868">
            <w:pPr>
              <w:spacing w:line="320" w:lineRule="exact"/>
              <w:ind w:firstLine="422"/>
              <w:rPr>
                <w:bCs/>
                <w:sz w:val="21"/>
                <w:szCs w:val="21"/>
              </w:rPr>
            </w:pPr>
            <w:bookmarkStart w:id="330" w:name="OLE_LINK74"/>
            <w:r>
              <w:rPr>
                <w:b/>
                <w:sz w:val="21"/>
                <w:szCs w:val="21"/>
              </w:rPr>
              <w:t>1.</w:t>
            </w:r>
            <w:r>
              <w:rPr>
                <w:rFonts w:hint="eastAsia"/>
                <w:b/>
                <w:sz w:val="21"/>
                <w:szCs w:val="21"/>
              </w:rPr>
              <w:t>康平县城南污水处理厂二期扩建工程项目。</w:t>
            </w:r>
            <w:r>
              <w:rPr>
                <w:rFonts w:hint="eastAsia"/>
                <w:bCs/>
                <w:sz w:val="21"/>
                <w:szCs w:val="21"/>
              </w:rPr>
              <w:t>对城南污水处理厂一期工程进行修缮及工艺优化，在原有污水处理厂二期预留用地上新建生化池</w:t>
            </w:r>
            <w:r>
              <w:rPr>
                <w:bCs/>
                <w:sz w:val="21"/>
                <w:szCs w:val="21"/>
              </w:rPr>
              <w:t>1</w:t>
            </w:r>
            <w:r>
              <w:rPr>
                <w:rFonts w:hint="eastAsia"/>
                <w:bCs/>
                <w:sz w:val="21"/>
                <w:szCs w:val="21"/>
              </w:rPr>
              <w:t>座、二沉池配水井</w:t>
            </w:r>
            <w:r>
              <w:rPr>
                <w:bCs/>
                <w:sz w:val="21"/>
                <w:szCs w:val="21"/>
              </w:rPr>
              <w:t>1</w:t>
            </w:r>
            <w:r>
              <w:rPr>
                <w:rFonts w:hint="eastAsia"/>
                <w:bCs/>
                <w:sz w:val="21"/>
                <w:szCs w:val="21"/>
              </w:rPr>
              <w:t>座、二沉池</w:t>
            </w:r>
            <w:r>
              <w:rPr>
                <w:bCs/>
                <w:sz w:val="21"/>
                <w:szCs w:val="21"/>
              </w:rPr>
              <w:t>2</w:t>
            </w:r>
            <w:r>
              <w:rPr>
                <w:rFonts w:hint="eastAsia"/>
                <w:bCs/>
                <w:sz w:val="21"/>
                <w:szCs w:val="21"/>
              </w:rPr>
              <w:t>座。</w:t>
            </w:r>
          </w:p>
          <w:bookmarkEnd w:id="330"/>
          <w:p w14:paraId="656FCD3D">
            <w:pPr>
              <w:spacing w:line="320" w:lineRule="exact"/>
              <w:ind w:firstLine="422"/>
              <w:rPr>
                <w:bCs/>
                <w:sz w:val="21"/>
                <w:szCs w:val="21"/>
              </w:rPr>
            </w:pPr>
            <w:r>
              <w:rPr>
                <w:b/>
                <w:sz w:val="21"/>
                <w:szCs w:val="21"/>
              </w:rPr>
              <w:t>2.</w:t>
            </w:r>
            <w:r>
              <w:rPr>
                <w:rFonts w:hint="eastAsia"/>
                <w:b/>
                <w:sz w:val="21"/>
                <w:szCs w:val="21"/>
              </w:rPr>
              <w:t>康平县城北污水厂设备设施更新改造项目。</w:t>
            </w:r>
            <w:r>
              <w:rPr>
                <w:rFonts w:hint="eastAsia"/>
                <w:bCs/>
                <w:sz w:val="21"/>
                <w:szCs w:val="21"/>
              </w:rPr>
              <w:t>建设内容包括粗格栅间、提升泵房、</w:t>
            </w:r>
            <w:r>
              <w:rPr>
                <w:bCs/>
                <w:sz w:val="21"/>
                <w:szCs w:val="21"/>
              </w:rPr>
              <w:t>MBR</w:t>
            </w:r>
            <w:r>
              <w:rPr>
                <w:rFonts w:hint="eastAsia"/>
                <w:bCs/>
                <w:sz w:val="21"/>
                <w:szCs w:val="21"/>
              </w:rPr>
              <w:t>格栅间、生化池、</w:t>
            </w:r>
            <w:r>
              <w:rPr>
                <w:bCs/>
                <w:sz w:val="21"/>
                <w:szCs w:val="21"/>
              </w:rPr>
              <w:t>MBR</w:t>
            </w:r>
            <w:r>
              <w:rPr>
                <w:rFonts w:hint="eastAsia"/>
                <w:bCs/>
                <w:sz w:val="21"/>
                <w:szCs w:val="21"/>
              </w:rPr>
              <w:t>膜车间、污泥脱水间及中控室等设施设备更新。</w:t>
            </w:r>
          </w:p>
          <w:p w14:paraId="1A888A5C">
            <w:pPr>
              <w:spacing w:line="320" w:lineRule="exact"/>
              <w:ind w:firstLine="422"/>
              <w:rPr>
                <w:bCs/>
                <w:sz w:val="21"/>
                <w:szCs w:val="21"/>
              </w:rPr>
            </w:pPr>
            <w:r>
              <w:rPr>
                <w:b/>
                <w:sz w:val="21"/>
                <w:szCs w:val="21"/>
              </w:rPr>
              <w:t>3.</w:t>
            </w:r>
            <w:r>
              <w:rPr>
                <w:rFonts w:hint="eastAsia"/>
                <w:b/>
                <w:sz w:val="21"/>
                <w:szCs w:val="21"/>
              </w:rPr>
              <w:t>康平县城区排水管网改造工程三期项目。</w:t>
            </w:r>
            <w:r>
              <w:rPr>
                <w:rFonts w:hint="eastAsia"/>
                <w:bCs/>
                <w:sz w:val="21"/>
                <w:szCs w:val="21"/>
              </w:rPr>
              <w:t>改造城区排水管网，涉及道路</w:t>
            </w:r>
            <w:r>
              <w:rPr>
                <w:bCs/>
                <w:sz w:val="21"/>
                <w:szCs w:val="21"/>
              </w:rPr>
              <w:t>8</w:t>
            </w:r>
            <w:r>
              <w:rPr>
                <w:rFonts w:hint="eastAsia"/>
                <w:bCs/>
                <w:sz w:val="21"/>
                <w:szCs w:val="21"/>
              </w:rPr>
              <w:t>条，包括：迎宾一路、滨湖二街、向中路、中心街北段、怀远路、向阳巷、健康巷、水果窖巷。</w:t>
            </w:r>
          </w:p>
          <w:p w14:paraId="039AF92E">
            <w:pPr>
              <w:spacing w:line="320" w:lineRule="exact"/>
              <w:ind w:firstLine="422"/>
              <w:rPr>
                <w:bCs/>
                <w:sz w:val="21"/>
                <w:szCs w:val="21"/>
              </w:rPr>
            </w:pPr>
            <w:r>
              <w:rPr>
                <w:b/>
                <w:bCs/>
                <w:sz w:val="21"/>
                <w:szCs w:val="21"/>
              </w:rPr>
              <w:t>4.</w:t>
            </w:r>
            <w:r>
              <w:rPr>
                <w:rFonts w:hint="eastAsia"/>
                <w:b/>
                <w:bCs/>
                <w:sz w:val="21"/>
                <w:szCs w:val="21"/>
              </w:rPr>
              <w:t>城区南部雨污水混错接排水管道建设项目。</w:t>
            </w:r>
            <w:r>
              <w:rPr>
                <w:rFonts w:hint="eastAsia"/>
                <w:bCs/>
                <w:sz w:val="21"/>
                <w:szCs w:val="21"/>
              </w:rPr>
              <w:t>新建污水钢管、污水玻璃钢夹砂管、一体化污水提升泵站。</w:t>
            </w:r>
          </w:p>
          <w:p w14:paraId="51FD3D0E">
            <w:pPr>
              <w:spacing w:line="320" w:lineRule="exact"/>
              <w:ind w:firstLine="422"/>
              <w:rPr>
                <w:bCs/>
                <w:sz w:val="21"/>
                <w:szCs w:val="21"/>
              </w:rPr>
            </w:pPr>
            <w:r>
              <w:rPr>
                <w:b/>
                <w:sz w:val="21"/>
                <w:szCs w:val="21"/>
              </w:rPr>
              <w:t>5.</w:t>
            </w:r>
            <w:r>
              <w:rPr>
                <w:rFonts w:hint="eastAsia"/>
                <w:b/>
                <w:sz w:val="21"/>
                <w:szCs w:val="21"/>
              </w:rPr>
              <w:t>康平县再生水资源化利用建设项目。</w:t>
            </w:r>
            <w:r>
              <w:rPr>
                <w:rFonts w:hint="eastAsia"/>
                <w:bCs/>
                <w:sz w:val="21"/>
                <w:szCs w:val="21"/>
              </w:rPr>
              <w:t>一期工程铺设再生水管线，新建城南污水处理厂再生水提升泵站、孔家污水处理厂再生水提升泵站；二期工程铺设再生水管线，新建再生水一体化提升泵站、配套设施，道路恢复等。</w:t>
            </w:r>
          </w:p>
          <w:p w14:paraId="22F277F9">
            <w:pPr>
              <w:spacing w:line="320" w:lineRule="exact"/>
              <w:ind w:firstLine="422"/>
              <w:rPr>
                <w:sz w:val="21"/>
                <w:szCs w:val="21"/>
              </w:rPr>
            </w:pPr>
            <w:r>
              <w:rPr>
                <w:b/>
                <w:sz w:val="21"/>
                <w:szCs w:val="21"/>
              </w:rPr>
              <w:t>6.</w:t>
            </w:r>
            <w:bookmarkStart w:id="331" w:name="OLE_LINK404"/>
            <w:bookmarkStart w:id="332" w:name="OLE_LINK405"/>
            <w:r>
              <w:rPr>
                <w:rFonts w:hint="eastAsia"/>
                <w:b/>
                <w:sz w:val="21"/>
                <w:szCs w:val="21"/>
              </w:rPr>
              <w:t>垃圾焚烧发电项目固化飞灰填埋区一期工程</w:t>
            </w:r>
            <w:bookmarkEnd w:id="331"/>
            <w:bookmarkEnd w:id="332"/>
            <w:r>
              <w:rPr>
                <w:rFonts w:hint="eastAsia"/>
                <w:b/>
                <w:sz w:val="21"/>
                <w:szCs w:val="21"/>
              </w:rPr>
              <w:t>项目。</w:t>
            </w:r>
            <w:r>
              <w:rPr>
                <w:rFonts w:hint="eastAsia"/>
                <w:sz w:val="21"/>
                <w:szCs w:val="21"/>
              </w:rPr>
              <w:t>固化飞灰填埋区设计填埋规模为</w:t>
            </w:r>
            <w:r>
              <w:rPr>
                <w:sz w:val="21"/>
                <w:szCs w:val="21"/>
              </w:rPr>
              <w:t>10.4</w:t>
            </w:r>
            <w:r>
              <w:rPr>
                <w:rFonts w:hint="eastAsia"/>
                <w:sz w:val="21"/>
                <w:szCs w:val="21"/>
              </w:rPr>
              <w:t>万立方米，飞灰填埋量约</w:t>
            </w:r>
            <w:r>
              <w:rPr>
                <w:sz w:val="21"/>
                <w:szCs w:val="21"/>
              </w:rPr>
              <w:t>8.32</w:t>
            </w:r>
            <w:r>
              <w:rPr>
                <w:rFonts w:hint="eastAsia"/>
                <w:sz w:val="21"/>
                <w:szCs w:val="21"/>
              </w:rPr>
              <w:t>万吨，设计运营期</w:t>
            </w:r>
            <w:r>
              <w:rPr>
                <w:sz w:val="21"/>
                <w:szCs w:val="21"/>
              </w:rPr>
              <w:t>10</w:t>
            </w:r>
            <w:r>
              <w:rPr>
                <w:rFonts w:hint="eastAsia"/>
                <w:sz w:val="21"/>
                <w:szCs w:val="21"/>
              </w:rPr>
              <w:t>年。</w:t>
            </w:r>
          </w:p>
          <w:p w14:paraId="2E7C16D8">
            <w:pPr>
              <w:spacing w:line="320" w:lineRule="exact"/>
              <w:ind w:firstLine="422"/>
              <w:rPr>
                <w:sz w:val="21"/>
                <w:szCs w:val="21"/>
              </w:rPr>
            </w:pPr>
            <w:r>
              <w:rPr>
                <w:b/>
                <w:sz w:val="21"/>
                <w:szCs w:val="21"/>
              </w:rPr>
              <w:t>7.</w:t>
            </w:r>
            <w:r>
              <w:rPr>
                <w:rFonts w:hint="eastAsia"/>
                <w:b/>
                <w:sz w:val="21"/>
                <w:szCs w:val="21"/>
              </w:rPr>
              <w:t>康平县城市垃圾收运设施设备更新项目。</w:t>
            </w:r>
            <w:bookmarkStart w:id="333" w:name="OLE_LINK407"/>
            <w:bookmarkStart w:id="334" w:name="OLE_LINK406"/>
            <w:r>
              <w:rPr>
                <w:rFonts w:hint="eastAsia"/>
                <w:sz w:val="21"/>
                <w:szCs w:val="21"/>
              </w:rPr>
              <w:t>更新报废车辆和国</w:t>
            </w:r>
            <w:r>
              <w:rPr>
                <w:sz w:val="21"/>
                <w:szCs w:val="21"/>
              </w:rPr>
              <w:t>3</w:t>
            </w:r>
            <w:r>
              <w:rPr>
                <w:rFonts w:hint="eastAsia"/>
                <w:sz w:val="21"/>
                <w:szCs w:val="21"/>
              </w:rPr>
              <w:t>以下排放标准及使用期</w:t>
            </w:r>
            <w:r>
              <w:rPr>
                <w:sz w:val="21"/>
                <w:szCs w:val="21"/>
              </w:rPr>
              <w:t>10</w:t>
            </w:r>
            <w:r>
              <w:rPr>
                <w:rFonts w:hint="eastAsia"/>
                <w:sz w:val="21"/>
                <w:szCs w:val="21"/>
              </w:rPr>
              <w:t>年以上作业机械，包括勾臂车、压缩车、清扫车、洒水车、餐余垃圾清运车、转运车等设施。</w:t>
            </w:r>
            <w:bookmarkEnd w:id="333"/>
            <w:bookmarkEnd w:id="334"/>
          </w:p>
        </w:tc>
      </w:tr>
      <w:bookmarkEnd w:id="309"/>
      <w:bookmarkEnd w:id="328"/>
      <w:bookmarkEnd w:id="329"/>
    </w:tbl>
    <w:p w14:paraId="5D309B4E">
      <w:pPr>
        <w:pStyle w:val="3"/>
        <w:spacing w:before="217" w:after="217"/>
      </w:pPr>
      <w:bookmarkStart w:id="335" w:name="_Toc211957140"/>
      <w:bookmarkStart w:id="336" w:name="_Toc237336693"/>
      <w:r>
        <w:rPr>
          <w:rFonts w:hint="eastAsia"/>
        </w:rPr>
        <w:t>第三节</w:t>
      </w:r>
      <w:r>
        <w:t xml:space="preserve"> </w:t>
      </w:r>
      <w:bookmarkEnd w:id="335"/>
      <w:r>
        <w:rPr>
          <w:rFonts w:hint="eastAsia"/>
        </w:rPr>
        <w:t>持续加强生态保护修复</w:t>
      </w:r>
      <w:bookmarkEnd w:id="336"/>
    </w:p>
    <w:p w14:paraId="009956C4">
      <w:pPr>
        <w:ind w:firstLine="643"/>
      </w:pPr>
      <w:bookmarkStart w:id="337" w:name="_Hlk212314761"/>
      <w:r>
        <w:rPr>
          <w:rFonts w:hint="eastAsia"/>
          <w:b/>
          <w:bCs/>
        </w:rPr>
        <w:t>筑牢生态安全屏障</w:t>
      </w:r>
      <w:r>
        <w:rPr>
          <w:rFonts w:hint="eastAsia"/>
        </w:rPr>
        <w:t>。</w:t>
      </w:r>
      <w:bookmarkEnd w:id="337"/>
      <w:bookmarkStart w:id="338" w:name="OLE_LINK82"/>
      <w:r>
        <w:rPr>
          <w:rFonts w:hint="eastAsia"/>
        </w:rPr>
        <w:t>构建</w:t>
      </w:r>
      <w:bookmarkStart w:id="339" w:name="OLE_LINK123"/>
      <w:bookmarkStart w:id="340" w:name="OLE_LINK124"/>
      <w:r>
        <w:rPr>
          <w:rFonts w:hint="eastAsia"/>
        </w:rPr>
        <w:t>“一屏一带、一湖多点、林水织网”生态空间格局</w:t>
      </w:r>
      <w:bookmarkEnd w:id="339"/>
      <w:bookmarkEnd w:id="340"/>
      <w:r>
        <w:rPr>
          <w:rFonts w:hint="eastAsia"/>
        </w:rPr>
        <w:t>，完善科尔沁沙地防风固沙林带和农田防护林网体系</w:t>
      </w:r>
      <w:bookmarkStart w:id="341" w:name="OLE_LINK181"/>
      <w:bookmarkStart w:id="342" w:name="OLE_LINK184"/>
      <w:r>
        <w:rPr>
          <w:rFonts w:hint="eastAsia"/>
        </w:rPr>
        <w:t>。实施补植改造、封育抚育、退化林修复等措施，持续推进辽蒙边界防风阻沙带、新老万亩松、公路两侧生态廊道、农田林网等基干防护林建设</w:t>
      </w:r>
      <w:bookmarkEnd w:id="341"/>
      <w:bookmarkEnd w:id="342"/>
      <w:r>
        <w:rPr>
          <w:rFonts w:hint="eastAsia"/>
        </w:rPr>
        <w:t>，打好打赢科尔沁沙地治理攻坚战。全面提升水生态涵养功能，开展辽河流域、卧龙湖等水生态保护和修复，全力实施辽河流域卧龙湖生态保护修复等重点工程项目，强化卧龙湖生态自我修复能力。加快治理康平县漫川漫岗国家级水土流失重点治理区，实施侵蚀沟治理，加强封育保护和坡面修复等小流域综合治理，提高水土保持功能。到</w:t>
      </w:r>
      <w:r>
        <w:t>2030</w:t>
      </w:r>
      <w:r>
        <w:rPr>
          <w:rFonts w:hint="eastAsia"/>
        </w:rPr>
        <w:t>年，现有沙化林草用地植被综合盖度达到</w:t>
      </w:r>
      <w:r>
        <w:t>80%</w:t>
      </w:r>
      <w:r>
        <w:rPr>
          <w:rFonts w:hint="eastAsia"/>
        </w:rPr>
        <w:t>以上，全县森林覆盖率达到18%，累计实施小流域综合治理</w:t>
      </w:r>
      <w:r>
        <w:t>7.5</w:t>
      </w:r>
      <w:r>
        <w:rPr>
          <w:rFonts w:hint="eastAsia"/>
        </w:rPr>
        <w:t>万亩，区域水土保持率目标值达到</w:t>
      </w:r>
      <w:r>
        <w:t>88%</w:t>
      </w:r>
      <w:r>
        <w:rPr>
          <w:rFonts w:hint="eastAsia"/>
        </w:rPr>
        <w:t>。</w:t>
      </w:r>
      <w:bookmarkStart w:id="343" w:name="_Hlk212314748"/>
    </w:p>
    <w:bookmarkEnd w:id="338"/>
    <w:bookmarkEnd w:id="343"/>
    <w:p w14:paraId="7A31CB25">
      <w:pPr>
        <w:ind w:firstLine="643"/>
      </w:pPr>
      <w:bookmarkStart w:id="344" w:name="_Hlk212314780"/>
      <w:r>
        <w:rPr>
          <w:rFonts w:hint="eastAsia"/>
          <w:b/>
          <w:bCs/>
        </w:rPr>
        <w:t>强化刚性约束和监管。</w:t>
      </w:r>
      <w:bookmarkEnd w:id="344"/>
      <w:r>
        <w:rPr>
          <w:rFonts w:hint="eastAsia"/>
        </w:rPr>
        <w:t>加强对生态保护红线监督和环境监管执法。建立</w:t>
      </w:r>
      <w:r>
        <w:rPr>
          <w:rFonts w:hint="eastAsia" w:cs="仿宋"/>
          <w:szCs w:val="32"/>
        </w:rPr>
        <w:t>“</w:t>
      </w:r>
      <w:r>
        <w:rPr>
          <w:rFonts w:cs="仿宋"/>
          <w:szCs w:val="32"/>
        </w:rPr>
        <w:t>水利牵头、部门联动、综合治理</w:t>
      </w:r>
      <w:r>
        <w:rPr>
          <w:rFonts w:hint="eastAsia" w:cs="仿宋"/>
          <w:szCs w:val="32"/>
        </w:rPr>
        <w:t>”</w:t>
      </w:r>
      <w:r>
        <w:rPr>
          <w:rFonts w:cs="仿宋"/>
          <w:szCs w:val="32"/>
        </w:rPr>
        <w:t>机制</w:t>
      </w:r>
      <w:r>
        <w:rPr>
          <w:rFonts w:hint="eastAsia"/>
        </w:rPr>
        <w:t>，推进水土保持、自然资源地质恢复、林业植被修复等任务</w:t>
      </w:r>
      <w:r>
        <w:rPr>
          <w:rFonts w:cs="仿宋"/>
          <w:szCs w:val="32"/>
        </w:rPr>
        <w:t>。</w:t>
      </w:r>
      <w:r>
        <w:rPr>
          <w:rFonts w:hint="eastAsia"/>
        </w:rPr>
        <w:t>划定河湖管理范围、岸线保护与利用分区，保护水生生物栖息地。规范涉河项目审批，维护河湖空间完整与生态功能。</w:t>
      </w:r>
    </w:p>
    <w:p w14:paraId="232160C6">
      <w:pPr>
        <w:ind w:firstLine="643"/>
      </w:pPr>
      <w:bookmarkStart w:id="345" w:name="OLE_LINK98"/>
      <w:bookmarkStart w:id="346" w:name="OLE_LINK77"/>
      <w:r>
        <w:rPr>
          <w:rFonts w:hint="eastAsia"/>
          <w:b/>
          <w:bCs/>
        </w:rPr>
        <w:t>加强生物多样性保护。</w:t>
      </w:r>
      <w:r>
        <w:rPr>
          <w:rFonts w:hint="eastAsia"/>
        </w:rPr>
        <w:t>妥善保护白鹤、东方白鹳等国家重点保护野生动物，加强鸟类繁殖地和迁飞通道保护，维护野生动物栖息地、繁殖地的生物多样性。</w:t>
      </w:r>
      <w:bookmarkEnd w:id="345"/>
      <w:bookmarkEnd w:id="346"/>
      <w:r>
        <w:rPr>
          <w:rFonts w:hint="eastAsia"/>
        </w:rPr>
        <w:t>注重生态系统的连通性与完整性，合理规划生态廊道宽度与走向，建立健全监测预警预报体系，防治外来入侵物种。加强卧龙湖等重要湿地保护，推动</w:t>
      </w:r>
      <w:bookmarkStart w:id="347" w:name="OLE_LINK325"/>
      <w:bookmarkStart w:id="348" w:name="OLE_LINK324"/>
      <w:r>
        <w:rPr>
          <w:rFonts w:hint="eastAsia"/>
        </w:rPr>
        <w:t>卧龙湖省级重要湿地晋升为国家级重要湿地</w:t>
      </w:r>
      <w:bookmarkEnd w:id="347"/>
      <w:bookmarkEnd w:id="348"/>
      <w:r>
        <w:rPr>
          <w:rFonts w:hint="eastAsia"/>
        </w:rPr>
        <w:t>。</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668DD4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Borders>
              <w:top w:val="single" w:color="auto" w:sz="4" w:space="0"/>
              <w:left w:val="single" w:color="auto" w:sz="4" w:space="0"/>
              <w:bottom w:val="single" w:color="auto" w:sz="4" w:space="0"/>
              <w:right w:val="single" w:color="auto" w:sz="4" w:space="0"/>
            </w:tcBorders>
          </w:tcPr>
          <w:p w14:paraId="1AFD7F94">
            <w:pPr>
              <w:pStyle w:val="25"/>
              <w:numPr>
                <w:ilvl w:val="0"/>
                <w:numId w:val="1"/>
              </w:numPr>
              <w:ind w:firstLineChars="0"/>
              <w:jc w:val="center"/>
              <w:outlineLvl w:val="3"/>
              <w:rPr>
                <w:rFonts w:eastAsia="楷体"/>
                <w:b/>
                <w:sz w:val="28"/>
                <w:szCs w:val="28"/>
              </w:rPr>
            </w:pPr>
            <w:r>
              <w:rPr>
                <w:rFonts w:hint="eastAsia" w:eastAsia="楷体"/>
                <w:b/>
                <w:sz w:val="28"/>
                <w:szCs w:val="28"/>
              </w:rPr>
              <w:t>生态保护修复重点项目</w:t>
            </w:r>
          </w:p>
          <w:p w14:paraId="56CE2442">
            <w:pPr>
              <w:spacing w:line="340" w:lineRule="exact"/>
              <w:ind w:firstLine="422"/>
              <w:rPr>
                <w:bCs/>
                <w:sz w:val="21"/>
                <w:szCs w:val="21"/>
              </w:rPr>
            </w:pPr>
            <w:r>
              <w:rPr>
                <w:b/>
                <w:bCs/>
                <w:sz w:val="21"/>
                <w:szCs w:val="21"/>
              </w:rPr>
              <w:t>1.</w:t>
            </w:r>
            <w:bookmarkStart w:id="349" w:name="OLE_LINK393"/>
            <w:r>
              <w:rPr>
                <w:rFonts w:hint="eastAsia"/>
                <w:b/>
                <w:bCs/>
                <w:sz w:val="21"/>
                <w:szCs w:val="21"/>
              </w:rPr>
              <w:t>辽宁省沈阳市科尔沁沙地南缘综合治理项目</w:t>
            </w:r>
            <w:bookmarkEnd w:id="349"/>
            <w:r>
              <w:rPr>
                <w:rFonts w:hint="eastAsia"/>
                <w:b/>
                <w:bCs/>
                <w:sz w:val="21"/>
                <w:szCs w:val="21"/>
              </w:rPr>
              <w:t>。</w:t>
            </w:r>
            <w:bookmarkStart w:id="350" w:name="OLE_LINK394"/>
            <w:bookmarkStart w:id="351" w:name="OLE_LINK395"/>
            <w:r>
              <w:rPr>
                <w:rFonts w:hint="eastAsia"/>
                <w:bCs/>
                <w:sz w:val="21"/>
                <w:szCs w:val="21"/>
              </w:rPr>
              <w:t>实施人工造林</w:t>
            </w:r>
            <w:r>
              <w:rPr>
                <w:bCs/>
                <w:sz w:val="21"/>
                <w:szCs w:val="21"/>
              </w:rPr>
              <w:t>1</w:t>
            </w:r>
            <w:r>
              <w:rPr>
                <w:rFonts w:hint="eastAsia"/>
                <w:bCs/>
                <w:sz w:val="21"/>
                <w:szCs w:val="21"/>
              </w:rPr>
              <w:t>万亩，其中康平段</w:t>
            </w:r>
            <w:r>
              <w:rPr>
                <w:bCs/>
                <w:sz w:val="21"/>
                <w:szCs w:val="21"/>
              </w:rPr>
              <w:t>3500</w:t>
            </w:r>
            <w:r>
              <w:rPr>
                <w:rFonts w:hint="eastAsia"/>
                <w:bCs/>
                <w:sz w:val="21"/>
                <w:szCs w:val="21"/>
              </w:rPr>
              <w:t>亩。</w:t>
            </w:r>
          </w:p>
          <w:p w14:paraId="7AAC506E">
            <w:pPr>
              <w:spacing w:line="340" w:lineRule="exact"/>
              <w:ind w:firstLine="422"/>
              <w:rPr>
                <w:bCs/>
                <w:sz w:val="21"/>
                <w:szCs w:val="21"/>
              </w:rPr>
            </w:pPr>
            <w:r>
              <w:rPr>
                <w:b/>
                <w:sz w:val="21"/>
                <w:szCs w:val="21"/>
              </w:rPr>
              <w:t>2.</w:t>
            </w:r>
            <w:r>
              <w:rPr>
                <w:rFonts w:hint="eastAsia"/>
                <w:b/>
                <w:sz w:val="21"/>
                <w:szCs w:val="21"/>
              </w:rPr>
              <w:t>辽西北防沙带林分提升和保护项目。</w:t>
            </w:r>
            <w:r>
              <w:rPr>
                <w:rFonts w:hint="eastAsia"/>
                <w:bCs/>
                <w:sz w:val="21"/>
                <w:szCs w:val="21"/>
              </w:rPr>
              <w:t>建设内容包括森林火灾预警监测系统建设及森林防灭火物资升级项目，以及围栏封育工程。</w:t>
            </w:r>
          </w:p>
          <w:bookmarkEnd w:id="350"/>
          <w:bookmarkEnd w:id="351"/>
          <w:p w14:paraId="3C374C45">
            <w:pPr>
              <w:spacing w:line="340" w:lineRule="exact"/>
              <w:ind w:firstLine="422"/>
              <w:rPr>
                <w:b/>
                <w:sz w:val="21"/>
                <w:szCs w:val="21"/>
              </w:rPr>
            </w:pPr>
            <w:r>
              <w:rPr>
                <w:b/>
                <w:sz w:val="21"/>
                <w:szCs w:val="21"/>
              </w:rPr>
              <w:t>3.</w:t>
            </w:r>
            <w:r>
              <w:rPr>
                <w:rFonts w:hint="eastAsia"/>
                <w:b/>
                <w:sz w:val="21"/>
                <w:szCs w:val="21"/>
              </w:rPr>
              <w:t>沈阳市康平县森林防火通道建设工程。</w:t>
            </w:r>
            <w:r>
              <w:rPr>
                <w:rFonts w:hint="eastAsia"/>
                <w:sz w:val="21"/>
                <w:szCs w:val="21"/>
              </w:rPr>
              <w:t>以现有道路为基础，通过改造、新建等方式，打造一条串联金沙滩到辽河大坝等重要防火对象的多层级防火道路。</w:t>
            </w:r>
          </w:p>
          <w:p w14:paraId="21A56A82">
            <w:pPr>
              <w:spacing w:line="340" w:lineRule="exact"/>
              <w:ind w:firstLine="422"/>
              <w:rPr>
                <w:bCs/>
                <w:sz w:val="21"/>
                <w:szCs w:val="21"/>
              </w:rPr>
            </w:pPr>
            <w:r>
              <w:rPr>
                <w:b/>
                <w:sz w:val="21"/>
                <w:szCs w:val="21"/>
              </w:rPr>
              <w:t>4.</w:t>
            </w:r>
            <w:r>
              <w:rPr>
                <w:rFonts w:hint="eastAsia"/>
                <w:b/>
                <w:sz w:val="21"/>
                <w:szCs w:val="21"/>
              </w:rPr>
              <w:t>辽宁省卧龙湖幸福河湖建设项目。</w:t>
            </w:r>
            <w:r>
              <w:rPr>
                <w:rFonts w:hint="eastAsia"/>
                <w:bCs/>
                <w:sz w:val="21"/>
                <w:szCs w:val="21"/>
              </w:rPr>
              <w:t>建设内容包括</w:t>
            </w:r>
            <w:bookmarkStart w:id="352" w:name="OLE_LINK18"/>
            <w:r>
              <w:rPr>
                <w:rFonts w:hint="eastAsia"/>
                <w:bCs/>
                <w:sz w:val="21"/>
                <w:szCs w:val="21"/>
              </w:rPr>
              <w:t>河湖水系连通、河湖岸线保护修复、河湖水域空间保护修复、水文化保护传承与挖掘创新、河湖管控能力建设、河湖智慧监管设施建设、便民基础设施改造等工程。</w:t>
            </w:r>
            <w:bookmarkEnd w:id="352"/>
          </w:p>
          <w:p w14:paraId="0AD86E9C">
            <w:pPr>
              <w:spacing w:line="340" w:lineRule="exact"/>
              <w:ind w:firstLine="422"/>
              <w:rPr>
                <w:b/>
                <w:sz w:val="21"/>
                <w:szCs w:val="21"/>
              </w:rPr>
            </w:pPr>
            <w:r>
              <w:rPr>
                <w:b/>
                <w:sz w:val="21"/>
                <w:szCs w:val="21"/>
              </w:rPr>
              <w:t>5.</w:t>
            </w:r>
            <w:r>
              <w:rPr>
                <w:rFonts w:hint="eastAsia"/>
                <w:b/>
                <w:sz w:val="21"/>
                <w:szCs w:val="21"/>
              </w:rPr>
              <w:t>康平县国家小流域综合治理工程项目。</w:t>
            </w:r>
            <w:r>
              <w:rPr>
                <w:rFonts w:hint="eastAsia"/>
                <w:bCs/>
                <w:sz w:val="21"/>
                <w:szCs w:val="21"/>
              </w:rPr>
              <w:t>小流域综合治理面积</w:t>
            </w:r>
            <w:r>
              <w:rPr>
                <w:bCs/>
                <w:sz w:val="21"/>
                <w:szCs w:val="21"/>
              </w:rPr>
              <w:t>100</w:t>
            </w:r>
            <w:r>
              <w:rPr>
                <w:rFonts w:hint="eastAsia"/>
                <w:bCs/>
                <w:sz w:val="21"/>
                <w:szCs w:val="21"/>
              </w:rPr>
              <w:t>平方公里，具体治理措施包括梯田、跌水，谷坊，沟头防护，护岸工程、林草措施等。</w:t>
            </w:r>
          </w:p>
          <w:p w14:paraId="172BCEF5">
            <w:pPr>
              <w:spacing w:line="340" w:lineRule="exact"/>
              <w:ind w:firstLine="422"/>
              <w:rPr>
                <w:bCs/>
                <w:sz w:val="21"/>
                <w:szCs w:val="21"/>
              </w:rPr>
            </w:pPr>
            <w:r>
              <w:rPr>
                <w:b/>
                <w:sz w:val="21"/>
                <w:szCs w:val="21"/>
              </w:rPr>
              <w:t>6.</w:t>
            </w:r>
            <w:bookmarkStart w:id="353" w:name="OLE_LINK49"/>
            <w:bookmarkStart w:id="354" w:name="OLE_LINK42"/>
            <w:r>
              <w:rPr>
                <w:rFonts w:hint="eastAsia"/>
                <w:b/>
                <w:sz w:val="21"/>
                <w:szCs w:val="21"/>
              </w:rPr>
              <w:t>辽宁省辽河流域卧龙湖生态保护修复工程项目</w:t>
            </w:r>
            <w:bookmarkEnd w:id="353"/>
            <w:bookmarkEnd w:id="354"/>
            <w:r>
              <w:rPr>
                <w:rFonts w:hint="eastAsia"/>
                <w:b/>
                <w:sz w:val="21"/>
                <w:szCs w:val="21"/>
              </w:rPr>
              <w:t>。</w:t>
            </w:r>
            <w:r>
              <w:rPr>
                <w:rFonts w:hint="eastAsia"/>
                <w:bCs/>
                <w:sz w:val="21"/>
                <w:szCs w:val="21"/>
              </w:rPr>
              <w:t>建设内容包括河湖生态空间保护修复，对湖区及入湖口淤积区域进行地貌形态恢复；河湖水系连通，布设有组织流场活水管网单元；河湖岸线保护修复，建设生态护岸，生态化改造硬质堤防，湖滨缓冲带生态修复。</w:t>
            </w:r>
          </w:p>
          <w:p w14:paraId="3A2870A7">
            <w:pPr>
              <w:spacing w:line="340" w:lineRule="exact"/>
              <w:ind w:firstLine="422"/>
              <w:rPr>
                <w:bCs/>
                <w:sz w:val="21"/>
                <w:szCs w:val="21"/>
              </w:rPr>
            </w:pPr>
            <w:r>
              <w:rPr>
                <w:b/>
                <w:sz w:val="21"/>
                <w:szCs w:val="21"/>
              </w:rPr>
              <w:t>7.</w:t>
            </w:r>
            <w:r>
              <w:rPr>
                <w:rFonts w:hint="eastAsia"/>
                <w:b/>
                <w:sz w:val="21"/>
                <w:szCs w:val="21"/>
              </w:rPr>
              <w:t>康平县卧龙湖、四道号水库生态调控与水面生态养殖项目—卧龙湖基础设施提升改造建设项目。</w:t>
            </w:r>
            <w:r>
              <w:rPr>
                <w:rFonts w:hint="eastAsia"/>
                <w:bCs/>
                <w:sz w:val="21"/>
                <w:szCs w:val="21"/>
              </w:rPr>
              <w:t>建设内容包括水利、市政、电力三类工程。</w:t>
            </w:r>
          </w:p>
          <w:p w14:paraId="67E22EED">
            <w:pPr>
              <w:spacing w:line="340" w:lineRule="exact"/>
              <w:ind w:firstLine="422"/>
              <w:rPr>
                <w:bCs/>
                <w:sz w:val="21"/>
                <w:szCs w:val="21"/>
              </w:rPr>
            </w:pPr>
            <w:r>
              <w:rPr>
                <w:b/>
                <w:bCs/>
                <w:sz w:val="21"/>
                <w:szCs w:val="21"/>
              </w:rPr>
              <w:t>8.</w:t>
            </w:r>
            <w:bookmarkStart w:id="355" w:name="OLE_LINK390"/>
            <w:bookmarkStart w:id="356" w:name="OLE_LINK388"/>
            <w:r>
              <w:rPr>
                <w:rFonts w:hint="eastAsia"/>
                <w:b/>
                <w:bCs/>
                <w:sz w:val="21"/>
                <w:szCs w:val="21"/>
              </w:rPr>
              <w:t>沈阳康平四道号水库省重要湿地保护管理体系建设提升工程</w:t>
            </w:r>
            <w:bookmarkEnd w:id="355"/>
            <w:bookmarkEnd w:id="356"/>
            <w:r>
              <w:rPr>
                <w:rFonts w:hint="eastAsia"/>
                <w:b/>
                <w:sz w:val="21"/>
                <w:szCs w:val="21"/>
              </w:rPr>
              <w:t>项目</w:t>
            </w:r>
            <w:r>
              <w:rPr>
                <w:rFonts w:hint="eastAsia"/>
                <w:b/>
                <w:bCs/>
                <w:sz w:val="21"/>
                <w:szCs w:val="21"/>
              </w:rPr>
              <w:t>。</w:t>
            </w:r>
            <w:bookmarkStart w:id="357" w:name="OLE_LINK391"/>
            <w:bookmarkStart w:id="358" w:name="OLE_LINK392"/>
            <w:r>
              <w:rPr>
                <w:rFonts w:hint="eastAsia"/>
                <w:bCs/>
                <w:sz w:val="21"/>
                <w:szCs w:val="21"/>
              </w:rPr>
              <w:t>建设内容包括保护管理体系建设、生物多样性监测体系建设、打造一体化综合智慧管理平台、编制湿地监测报告、湿地保护治理工程。</w:t>
            </w:r>
            <w:bookmarkEnd w:id="357"/>
            <w:bookmarkEnd w:id="358"/>
          </w:p>
          <w:p w14:paraId="1AD50A5E">
            <w:pPr>
              <w:spacing w:line="340" w:lineRule="exact"/>
              <w:ind w:firstLine="422"/>
              <w:rPr>
                <w:bCs/>
                <w:sz w:val="21"/>
                <w:szCs w:val="21"/>
              </w:rPr>
            </w:pPr>
            <w:r>
              <w:rPr>
                <w:b/>
                <w:sz w:val="21"/>
                <w:szCs w:val="21"/>
              </w:rPr>
              <w:t>9.</w:t>
            </w:r>
            <w:r>
              <w:rPr>
                <w:rFonts w:hint="eastAsia"/>
                <w:b/>
                <w:sz w:val="21"/>
                <w:szCs w:val="21"/>
              </w:rPr>
              <w:t>卧龙湖杨家湿地生态修复工程项目。</w:t>
            </w:r>
            <w:r>
              <w:rPr>
                <w:rFonts w:hint="eastAsia"/>
                <w:bCs/>
                <w:sz w:val="21"/>
                <w:szCs w:val="21"/>
              </w:rPr>
              <w:t>总治理面积约</w:t>
            </w:r>
            <w:r>
              <w:rPr>
                <w:bCs/>
                <w:sz w:val="21"/>
                <w:szCs w:val="21"/>
              </w:rPr>
              <w:t>270</w:t>
            </w:r>
            <w:r>
              <w:rPr>
                <w:rFonts w:hint="eastAsia"/>
                <w:bCs/>
                <w:sz w:val="21"/>
                <w:szCs w:val="21"/>
              </w:rPr>
              <w:t>公顷，位于卧龙湖自然保护区西南杨家湿地内，对湿地开展生态修复。</w:t>
            </w:r>
          </w:p>
          <w:p w14:paraId="07837F2D">
            <w:pPr>
              <w:spacing w:line="340" w:lineRule="exact"/>
              <w:ind w:firstLine="422"/>
              <w:rPr>
                <w:bCs/>
                <w:sz w:val="21"/>
                <w:szCs w:val="21"/>
              </w:rPr>
            </w:pPr>
            <w:r>
              <w:rPr>
                <w:b/>
                <w:sz w:val="21"/>
                <w:szCs w:val="21"/>
              </w:rPr>
              <w:t>10.</w:t>
            </w:r>
            <w:r>
              <w:rPr>
                <w:rFonts w:hint="eastAsia"/>
                <w:b/>
                <w:sz w:val="21"/>
                <w:szCs w:val="21"/>
              </w:rPr>
              <w:t>康平县三台子水库报废下游渠道改造工程项目。</w:t>
            </w:r>
            <w:r>
              <w:rPr>
                <w:rFonts w:hint="eastAsia"/>
                <w:bCs/>
                <w:sz w:val="21"/>
                <w:szCs w:val="21"/>
              </w:rPr>
              <w:t>建设内容包括拆除三台子水库大坝、改建中央排干渠道堤防、新建公河堤防等。</w:t>
            </w:r>
          </w:p>
          <w:p w14:paraId="572EDDB3">
            <w:pPr>
              <w:spacing w:line="340" w:lineRule="exact"/>
              <w:ind w:firstLine="422"/>
              <w:rPr>
                <w:bCs/>
                <w:sz w:val="21"/>
                <w:szCs w:val="21"/>
              </w:rPr>
            </w:pPr>
            <w:r>
              <w:rPr>
                <w:rFonts w:hint="eastAsia"/>
                <w:b/>
                <w:bCs/>
                <w:sz w:val="21"/>
                <w:szCs w:val="21"/>
              </w:rPr>
              <w:t>1</w:t>
            </w:r>
            <w:r>
              <w:rPr>
                <w:b/>
                <w:bCs/>
                <w:sz w:val="21"/>
                <w:szCs w:val="21"/>
              </w:rPr>
              <w:t>1</w:t>
            </w:r>
            <w:r>
              <w:rPr>
                <w:rFonts w:hint="eastAsia"/>
                <w:b/>
                <w:bCs/>
                <w:sz w:val="21"/>
                <w:szCs w:val="21"/>
              </w:rPr>
              <w:t>.康平县人工影响天气北部生态指挥中心项目。</w:t>
            </w:r>
            <w:r>
              <w:rPr>
                <w:rFonts w:hint="eastAsia"/>
                <w:bCs/>
                <w:sz w:val="21"/>
                <w:szCs w:val="21"/>
              </w:rPr>
              <w:t>建设内容包括生态人影推演沙盘、通讯指挥系统、智能监控系统、微雨雷达等设施。</w:t>
            </w:r>
          </w:p>
        </w:tc>
      </w:tr>
      <w:bookmarkEnd w:id="304"/>
    </w:tbl>
    <w:p w14:paraId="634B3D00">
      <w:pPr>
        <w:pStyle w:val="2"/>
        <w:spacing w:before="217" w:after="217"/>
        <w:rPr>
          <w:b w:val="0"/>
          <w:bCs/>
        </w:rPr>
      </w:pPr>
      <w:bookmarkStart w:id="359" w:name="_Toc237336694"/>
      <w:bookmarkStart w:id="360" w:name="_Toc211957154"/>
      <w:bookmarkStart w:id="361" w:name="OLE_LINK260"/>
      <w:bookmarkStart w:id="362" w:name="OLE_LINK259"/>
      <w:r>
        <w:rPr>
          <w:rFonts w:hint="eastAsia"/>
          <w:b w:val="0"/>
          <w:bCs/>
        </w:rPr>
        <w:t>第十一章</w:t>
      </w:r>
      <w:r>
        <w:rPr>
          <w:b w:val="0"/>
          <w:bCs/>
        </w:rPr>
        <w:t xml:space="preserve"> </w:t>
      </w:r>
      <w:r>
        <w:rPr>
          <w:rFonts w:hint="eastAsia"/>
          <w:b w:val="0"/>
          <w:bCs/>
        </w:rPr>
        <w:t>深化重点领域改革</w:t>
      </w:r>
      <w:r>
        <w:rPr>
          <w:b w:val="0"/>
          <w:bCs/>
        </w:rPr>
        <w:t xml:space="preserve"> </w:t>
      </w:r>
      <w:r>
        <w:rPr>
          <w:rFonts w:hint="eastAsia"/>
          <w:b w:val="0"/>
          <w:bCs/>
        </w:rPr>
        <w:t>增强发展内生动力</w:t>
      </w:r>
      <w:bookmarkEnd w:id="359"/>
    </w:p>
    <w:p w14:paraId="63A7A86B">
      <w:pPr>
        <w:ind w:firstLine="640"/>
        <w:rPr>
          <w:kern w:val="0"/>
        </w:rPr>
      </w:pPr>
      <w:r>
        <w:rPr>
          <w:rFonts w:hint="eastAsia"/>
          <w:kern w:val="0"/>
        </w:rPr>
        <w:t>充分发挥市场在资源配置中的决定性作用，更好发挥政府作用，推进重点领域和关键环节改革，实现资源配置效率最优化和效益最大化，激发全面振兴发展内生动力和创新活力。</w:t>
      </w:r>
    </w:p>
    <w:p w14:paraId="4171106E">
      <w:pPr>
        <w:pStyle w:val="3"/>
        <w:spacing w:before="217" w:after="217"/>
      </w:pPr>
      <w:bookmarkStart w:id="363" w:name="_Toc237336695"/>
      <w:r>
        <w:rPr>
          <w:rFonts w:hint="eastAsia"/>
        </w:rPr>
        <w:t>第一节</w:t>
      </w:r>
      <w:r>
        <w:t xml:space="preserve"> </w:t>
      </w:r>
      <w:r>
        <w:rPr>
          <w:rFonts w:hint="eastAsia"/>
        </w:rPr>
        <w:t>持续推进国资国企改革</w:t>
      </w:r>
      <w:bookmarkEnd w:id="363"/>
    </w:p>
    <w:p w14:paraId="1D7119F2">
      <w:pPr>
        <w:ind w:firstLine="643"/>
        <w:rPr>
          <w:kern w:val="0"/>
        </w:rPr>
      </w:pPr>
      <w:bookmarkStart w:id="364" w:name="OLE_LINK213"/>
      <w:r>
        <w:rPr>
          <w:rFonts w:hint="eastAsia"/>
          <w:b/>
          <w:kern w:val="0"/>
        </w:rPr>
        <w:t>做优国有资本结构</w:t>
      </w:r>
      <w:bookmarkEnd w:id="364"/>
      <w:r>
        <w:rPr>
          <w:rFonts w:hint="eastAsia"/>
          <w:b/>
          <w:kern w:val="0"/>
        </w:rPr>
        <w:t>。</w:t>
      </w:r>
      <w:r>
        <w:rPr>
          <w:rFonts w:hint="eastAsia"/>
          <w:kern w:val="0"/>
        </w:rPr>
        <w:t>围绕“城市建设、投资运营、文化旅游、民生保障、农业发展、新能源”六大功能板块，建立“主业清单”动态调整机制，持续推进国有资本布局优化和结构调整。采取更加灵活的管理模式，为国有企业延伸优势产业、进军新兴领域提供更大自主空间。</w:t>
      </w:r>
    </w:p>
    <w:p w14:paraId="012EB980">
      <w:pPr>
        <w:ind w:firstLine="643"/>
      </w:pPr>
      <w:bookmarkStart w:id="365" w:name="OLE_LINK215"/>
      <w:r>
        <w:rPr>
          <w:rFonts w:hint="eastAsia"/>
          <w:b/>
        </w:rPr>
        <w:t>加强国有资产监管</w:t>
      </w:r>
      <w:bookmarkEnd w:id="365"/>
      <w:r>
        <w:rPr>
          <w:rFonts w:hint="eastAsia"/>
          <w:b/>
        </w:rPr>
        <w:t>。</w:t>
      </w:r>
      <w:r>
        <w:rPr>
          <w:rFonts w:hint="eastAsia"/>
        </w:rPr>
        <w:t>不断提升国资监管机构专业化体系化法制化监管能力，完善权责清单管理，搭建立体化监管体系，重点监督国企投资决策、产权变动、财务收支三大关键环节，对县属国企资产存量、投资进度、财务状况等数据进行实时监测、动态预警，不断提升监管效能。</w:t>
      </w:r>
    </w:p>
    <w:p w14:paraId="585E1ADB">
      <w:pPr>
        <w:ind w:firstLine="643"/>
      </w:pPr>
      <w:r>
        <w:rPr>
          <w:rFonts w:hint="eastAsia"/>
          <w:b/>
        </w:rPr>
        <w:t>优化市场经营机制。</w:t>
      </w:r>
      <w:r>
        <w:rPr>
          <w:rFonts w:hint="eastAsia"/>
        </w:rPr>
        <w:t>推进国企市场化转型，全面落实董事会重大决策、选聘经理层、薪酬分配等法定职权。深化国有企业“三项制度”改革，逐步建立管理人员能上能下、员工能进能出、收入能增能减的管理机制，实现职工与企业共建共赢共享。</w:t>
      </w:r>
    </w:p>
    <w:p w14:paraId="7F1B72D3">
      <w:pPr>
        <w:pStyle w:val="3"/>
        <w:spacing w:before="217" w:after="217"/>
      </w:pPr>
      <w:bookmarkStart w:id="366" w:name="_Toc237336696"/>
      <w:r>
        <w:rPr>
          <w:rFonts w:hint="eastAsia"/>
        </w:rPr>
        <w:t>第二节</w:t>
      </w:r>
      <w:r>
        <w:t xml:space="preserve"> </w:t>
      </w:r>
      <w:r>
        <w:rPr>
          <w:rFonts w:hint="eastAsia"/>
        </w:rPr>
        <w:t>激发民营经济发展活力</w:t>
      </w:r>
      <w:bookmarkEnd w:id="366"/>
    </w:p>
    <w:p w14:paraId="125AB121">
      <w:pPr>
        <w:ind w:firstLine="643"/>
      </w:pPr>
      <w:r>
        <w:rPr>
          <w:rFonts w:hint="eastAsia"/>
          <w:b/>
        </w:rPr>
        <w:t>深入破除市场准入壁垒。</w:t>
      </w:r>
      <w:r>
        <w:rPr>
          <w:rFonts w:hint="eastAsia"/>
        </w:rPr>
        <w:t>严格落实国家市场准入负面清单制度，全面破除各类隐性壁垒，保障民营企业依法平等使用土地、资本、数据等生产要素，公平参与市场竞争。支持民营企业融入国家和省、市、县重大战略，推动民营企业在产业升级、基础设施、生态环保等领域发挥更大作用。</w:t>
      </w:r>
    </w:p>
    <w:p w14:paraId="454AA297">
      <w:pPr>
        <w:ind w:firstLine="643"/>
        <w:rPr>
          <w:szCs w:val="32"/>
        </w:rPr>
      </w:pPr>
      <w:r>
        <w:rPr>
          <w:rFonts w:hint="eastAsia"/>
          <w:b/>
        </w:rPr>
        <w:t>保障民营企业合法权益。</w:t>
      </w:r>
      <w:r>
        <w:rPr>
          <w:rFonts w:hint="eastAsia"/>
        </w:rPr>
        <w:t>推进民营经济发展政策措施落实落地，依法平等保护民营企业产权和企业家财产权、人身权和自主经营权。健全涉企收费监管和解决拖欠企业账款问题长效机制，用好</w:t>
      </w:r>
      <w:r>
        <w:rPr>
          <w:rFonts w:cs="仿宋_GB2312"/>
          <w:szCs w:val="32"/>
        </w:rPr>
        <w:t>惠企平台，实现</w:t>
      </w:r>
      <w:r>
        <w:rPr>
          <w:rFonts w:hint="eastAsia" w:cs="仿宋_GB2312"/>
          <w:szCs w:val="32"/>
        </w:rPr>
        <w:t>“</w:t>
      </w:r>
      <w:r>
        <w:rPr>
          <w:rFonts w:cs="仿宋_GB2312"/>
          <w:szCs w:val="32"/>
        </w:rPr>
        <w:t>政策找企业</w:t>
      </w:r>
      <w:r>
        <w:rPr>
          <w:rFonts w:hint="eastAsia" w:cs="仿宋_GB2312"/>
          <w:szCs w:val="32"/>
        </w:rPr>
        <w:t>”</w:t>
      </w:r>
      <w:r>
        <w:rPr>
          <w:rFonts w:cs="仿宋_GB2312"/>
          <w:szCs w:val="32"/>
        </w:rPr>
        <w:t>精准推送，构建</w:t>
      </w:r>
      <w:r>
        <w:rPr>
          <w:rFonts w:hint="eastAsia"/>
        </w:rPr>
        <w:t>民营企业公共服务体系。</w:t>
      </w:r>
    </w:p>
    <w:p w14:paraId="2CB04E1F">
      <w:pPr>
        <w:ind w:firstLine="643"/>
      </w:pPr>
      <w:r>
        <w:rPr>
          <w:rFonts w:hint="eastAsia"/>
          <w:b/>
        </w:rPr>
        <w:t>提高民间投资创新潜能。</w:t>
      </w:r>
      <w:r>
        <w:rPr>
          <w:rFonts w:hint="eastAsia"/>
        </w:rPr>
        <w:t>强化金融支持，落实小微企业融资协调工作机制，整合多维度信息推动企业便利融资，促进金融“活水”精准流向民营企业。探索建立企业诉求清单化和共性问题破解机制，鼓励民营企业参与政策制定，推动共性问题系统化解决。</w:t>
      </w:r>
    </w:p>
    <w:p w14:paraId="0E132F45">
      <w:pPr>
        <w:ind w:firstLine="643"/>
      </w:pPr>
      <w:r>
        <w:rPr>
          <w:rFonts w:hint="eastAsia"/>
          <w:b/>
        </w:rPr>
        <w:t>大力弘扬企业家精神。</w:t>
      </w:r>
      <w:r>
        <w:rPr>
          <w:rFonts w:hint="eastAsia"/>
        </w:rPr>
        <w:t>加强民营经济舆论引导，选树宣传优秀企业和企业家典型。推动非公党建与企业发展深度融合，强化党组织的政治引领作用。开展青年民营企业家培育，倡导企业家精神与社会责任担当。</w:t>
      </w:r>
    </w:p>
    <w:p w14:paraId="2AE4D638">
      <w:pPr>
        <w:pStyle w:val="3"/>
        <w:spacing w:before="217" w:after="217"/>
      </w:pPr>
      <w:bookmarkStart w:id="367" w:name="_Toc237336697"/>
      <w:r>
        <w:rPr>
          <w:rFonts w:hint="eastAsia"/>
        </w:rPr>
        <w:t>第三节 强化财政管理能力</w:t>
      </w:r>
      <w:bookmarkEnd w:id="367"/>
    </w:p>
    <w:p w14:paraId="5474757A">
      <w:pPr>
        <w:ind w:firstLine="643"/>
      </w:pPr>
      <w:r>
        <w:rPr>
          <w:rFonts w:hint="eastAsia"/>
          <w:b/>
        </w:rPr>
        <w:t>持续推进财源建设。</w:t>
      </w:r>
      <w:r>
        <w:rPr>
          <w:rFonts w:hint="eastAsia"/>
        </w:rPr>
        <w:t>实施加强财源建设行动，夯实税源基础、壮大财源规模，保持一般公共预算收入与地区生产总值同步增长。优化财政收入结构，强化税收收入对财政收入支撑作用，落实消费税征收环节后移、增值税留抵退税和进项税额抵扣、设立地方附加税等政策，深化税收征管体制改革，构建综合治税格局。依法依规推进行政事业性国有资产、行政事业单位存量资金、国有自然资源资产盘活。发挥积极财政政策效能，加大对重点产业、重点项目、重点税源企业支持力度。</w:t>
      </w:r>
    </w:p>
    <w:p w14:paraId="3E9D5EFC">
      <w:pPr>
        <w:ind w:firstLine="643"/>
      </w:pPr>
      <w:r>
        <w:rPr>
          <w:rFonts w:hint="eastAsia"/>
          <w:b/>
        </w:rPr>
        <w:t>优化财政支出管理。</w:t>
      </w:r>
      <w:r>
        <w:rPr>
          <w:rFonts w:hint="eastAsia"/>
        </w:rPr>
        <w:t>推进县级以下财政体制改革，明确县乡财政事权和支出责任。深化零基预算改革，定期清理财政支出政策，优化整合财政资金，提高财政资金使用质效，对支出总额及年度资金需求较大、专业性强、技术复杂的项目按程序开展预算评审。坚持“三保”支出优先顺序，优先使用稳定可靠的经常性财力予以保障。严控非急需、非刚性和一般性支出，动态调整人员经费、公用经费等支出标准，强化“三公”经费支出监控。加大国家重大战略任务和基本民生财力保障，民生领域投入保持在75%左右。</w:t>
      </w:r>
    </w:p>
    <w:p w14:paraId="324C4AE4">
      <w:pPr>
        <w:ind w:firstLine="643"/>
      </w:pPr>
      <w:r>
        <w:rPr>
          <w:rFonts w:hint="eastAsia"/>
          <w:b/>
        </w:rPr>
        <w:t>强化绩效监督管理。</w:t>
      </w:r>
      <w:r>
        <w:rPr>
          <w:rFonts w:hint="eastAsia"/>
        </w:rPr>
        <w:t>推动预算项目绩效目标设置全覆盖，对500万元及以上的特定目标类、其他运转类项目开展事前绩效评估。推进行政运行、公共服务、政府投资等重点领域成本预算绩效管理，逐步建立申请测算、安排审核、执行控制、完成评估的成本预算绩效管理体系。做好绩效目标实现程度和预算执行进度“双监控”，对全部政府专项资金开展绩效评价。持续深化财会监督体系建设，强化财经纪律刚性约束。</w:t>
      </w:r>
    </w:p>
    <w:p w14:paraId="4161D3AC">
      <w:pPr>
        <w:pStyle w:val="3"/>
        <w:spacing w:before="217" w:after="217"/>
      </w:pPr>
      <w:bookmarkStart w:id="368" w:name="_Toc237336698"/>
      <w:r>
        <w:rPr>
          <w:rFonts w:hint="eastAsia"/>
        </w:rPr>
        <w:t>第四节</w:t>
      </w:r>
      <w:r>
        <w:t xml:space="preserve"> </w:t>
      </w:r>
      <w:r>
        <w:rPr>
          <w:rFonts w:hint="eastAsia"/>
        </w:rPr>
        <w:t>深化开发区管理制度改革</w:t>
      </w:r>
      <w:bookmarkEnd w:id="368"/>
    </w:p>
    <w:p w14:paraId="6F7940D7">
      <w:pPr>
        <w:ind w:firstLine="643"/>
      </w:pPr>
      <w:r>
        <w:rPr>
          <w:rFonts w:hint="eastAsia"/>
          <w:b/>
        </w:rPr>
        <w:t>完善体制机制改革。</w:t>
      </w:r>
      <w:r>
        <w:rPr>
          <w:rFonts w:hint="eastAsia"/>
        </w:rPr>
        <w:t>推进开发区政企分离、管运分离，完善“管委会</w:t>
      </w:r>
      <w:r>
        <w:t>+</w:t>
      </w:r>
      <w:r>
        <w:rPr>
          <w:rFonts w:hint="eastAsia"/>
        </w:rPr>
        <w:t>公司”市场化运营模式，建立管委会和运营公司权责清单。完善高水平对外开放体制机制，明确开发区与行政区、管委会与运营公司的权责关系，健全干部人才、财政保障、运营机制等现代管理制度。在园区、平台公司建立和完善按劳取酬、按绩取酬的分配激励机制。</w:t>
      </w:r>
    </w:p>
    <w:p w14:paraId="633D21F9">
      <w:pPr>
        <w:ind w:firstLine="643"/>
      </w:pPr>
      <w:r>
        <w:rPr>
          <w:rFonts w:hint="eastAsia"/>
          <w:b/>
        </w:rPr>
        <w:t>深化事权制度改革。</w:t>
      </w:r>
      <w:r>
        <w:rPr>
          <w:rFonts w:hint="eastAsia" w:ascii="仿宋_GB2312"/>
        </w:rPr>
        <w:t>明晰开发区管委会与县政府及其职能部门、乡镇、街道的职责边界。</w:t>
      </w:r>
      <w:r>
        <w:rPr>
          <w:rFonts w:hint="eastAsia"/>
        </w:rPr>
        <w:t>聚焦经济发展、对外开放、科技创新等主责主业，完善赋权机制。强化招商引资和资产盘活，推动闲置厂房、闲置楼宇“腾笼换鸟”，促进土地集约高效利用。</w:t>
      </w:r>
    </w:p>
    <w:p w14:paraId="5A6ED45C">
      <w:pPr>
        <w:ind w:firstLine="643"/>
      </w:pPr>
      <w:r>
        <w:rPr>
          <w:rFonts w:hint="eastAsia"/>
          <w:b/>
        </w:rPr>
        <w:t>推动开发区进位争先。</w:t>
      </w:r>
      <w:r>
        <w:rPr>
          <w:rFonts w:hint="eastAsia"/>
        </w:rPr>
        <w:t>精准施策推动考核指标提质进位，建立指标进展动态监测与倒排督导制度，确保各项任务按时序节点高效推进。强化招商引资，靶向引进综合实力强、产业关联度高、带动作用明显的龙头企业和重大项目，推动在谈项目签约、签约项目开工。实施企业创新能力培育计划，“一对一”辅导企业申报高新技术、专精特新，提升整体科技竞争力。</w:t>
      </w:r>
    </w:p>
    <w:p w14:paraId="080B0F6B">
      <w:pPr>
        <w:pStyle w:val="3"/>
        <w:spacing w:before="217" w:after="217"/>
      </w:pPr>
      <w:bookmarkStart w:id="369" w:name="_Toc237336699"/>
      <w:r>
        <w:rPr>
          <w:rFonts w:hint="eastAsia"/>
        </w:rPr>
        <w:t>第五节</w:t>
      </w:r>
      <w:r>
        <w:t xml:space="preserve"> </w:t>
      </w:r>
      <w:r>
        <w:rPr>
          <w:rFonts w:hint="eastAsia"/>
        </w:rPr>
        <w:t>推进要素市场化配置改革</w:t>
      </w:r>
      <w:bookmarkEnd w:id="369"/>
    </w:p>
    <w:p w14:paraId="04D93FFA">
      <w:pPr>
        <w:ind w:firstLine="640"/>
      </w:pPr>
      <w:r>
        <w:rPr>
          <w:rFonts w:hint="eastAsia"/>
        </w:rPr>
        <w:t>推进要素集约优化整合</w:t>
      </w:r>
      <w:r>
        <w:rPr>
          <w:rFonts w:cs="Times New Roman"/>
        </w:rPr>
        <w:t>，推动生产要素畅通流动、各类资源高效配置、市场潜力充分释放。</w:t>
      </w:r>
      <w:r>
        <w:rPr>
          <w:rFonts w:hint="eastAsia"/>
        </w:rPr>
        <w:t>推动土地要素配置优化，加快建设统一的土地二级市场交易平台，加强土地节约集约利用，盘活用好存量土地和低效用地，优先保障主导产业、重大项目合理用地。优化矿产资源要素布局，合理划定集中开采区，为全县重大项目实施提供资源保障。促进劳动力要素有序流动，加强人力资源服务平台信息化建设，提升人力资源服务水平。加快培育数据要素市场，围绕沈阳市一体化公共数据底座和区县数据回流机制，完善数据标准化建设促进数据交易。完善金融要素服务功能，拓宽企业融资渠道，深化“政银担企”合作，大力发展知识产权质押、应收账款融资等信用贷款产品。</w:t>
      </w:r>
    </w:p>
    <w:p w14:paraId="60C96D4A">
      <w:pPr>
        <w:pStyle w:val="2"/>
        <w:spacing w:before="217" w:after="217"/>
        <w:rPr>
          <w:b w:val="0"/>
          <w:bCs/>
        </w:rPr>
      </w:pPr>
      <w:bookmarkStart w:id="370" w:name="_Toc237336700"/>
      <w:r>
        <w:rPr>
          <w:rFonts w:hint="eastAsia"/>
          <w:b w:val="0"/>
          <w:bCs/>
        </w:rPr>
        <w:t>第十二章</w:t>
      </w:r>
      <w:r>
        <w:rPr>
          <w:b w:val="0"/>
          <w:bCs/>
        </w:rPr>
        <w:t xml:space="preserve"> </w:t>
      </w:r>
      <w:r>
        <w:rPr>
          <w:rFonts w:hint="eastAsia"/>
          <w:b w:val="0"/>
          <w:bCs/>
        </w:rPr>
        <w:t>筑牢安全发展底线</w:t>
      </w:r>
      <w:bookmarkEnd w:id="360"/>
      <w:r>
        <w:rPr>
          <w:b w:val="0"/>
          <w:bCs/>
        </w:rPr>
        <w:t xml:space="preserve"> </w:t>
      </w:r>
      <w:r>
        <w:rPr>
          <w:rFonts w:hint="eastAsia"/>
          <w:b w:val="0"/>
          <w:bCs/>
        </w:rPr>
        <w:t>提高社会治理效能</w:t>
      </w:r>
      <w:bookmarkEnd w:id="370"/>
    </w:p>
    <w:bookmarkEnd w:id="361"/>
    <w:bookmarkEnd w:id="362"/>
    <w:p w14:paraId="04651FAC">
      <w:pPr>
        <w:ind w:firstLine="640"/>
      </w:pPr>
      <w:r>
        <w:rPr>
          <w:rFonts w:hint="eastAsia"/>
        </w:rPr>
        <w:t>贯彻落实总体国家安全观，秉持人民至上、生命至上理念，树牢安全发展底线思维，有效防范化解各类风险，建设平安康平。</w:t>
      </w:r>
    </w:p>
    <w:p w14:paraId="7F8511D1">
      <w:pPr>
        <w:pStyle w:val="3"/>
        <w:spacing w:before="217" w:after="217"/>
      </w:pPr>
      <w:bookmarkStart w:id="371" w:name="_Toc237336701"/>
      <w:bookmarkStart w:id="372" w:name="_Toc211957157"/>
      <w:bookmarkStart w:id="373" w:name="_Hlk212314791"/>
      <w:r>
        <w:rPr>
          <w:rFonts w:hint="eastAsia"/>
        </w:rPr>
        <w:t>第一节</w:t>
      </w:r>
      <w:r>
        <w:t xml:space="preserve"> </w:t>
      </w:r>
      <w:bookmarkStart w:id="374" w:name="OLE_LINK106"/>
      <w:r>
        <w:rPr>
          <w:rFonts w:hint="eastAsia"/>
        </w:rPr>
        <w:t>防范化解重点领域风险</w:t>
      </w:r>
      <w:bookmarkEnd w:id="371"/>
      <w:bookmarkEnd w:id="372"/>
      <w:bookmarkEnd w:id="374"/>
    </w:p>
    <w:bookmarkEnd w:id="373"/>
    <w:p w14:paraId="635F61A1">
      <w:pPr>
        <w:ind w:firstLine="643"/>
      </w:pPr>
      <w:r>
        <w:rPr>
          <w:rFonts w:hint="eastAsia"/>
          <w:b/>
          <w:bCs/>
        </w:rPr>
        <w:t>加强债务风险防控管理。</w:t>
      </w:r>
      <w:r>
        <w:rPr>
          <w:rFonts w:hint="eastAsia"/>
        </w:rPr>
        <w:t>强化预算约束，依托全口径地方债务监测平台，实施“穿透式”管理，做到风险事件早监测、早发现、早预警、早干预、早处置。严格落实违规举债终身问责和倒查机制，不断夯实债务风险防控工作，守住不发生系统性风险底线。</w:t>
      </w:r>
    </w:p>
    <w:p w14:paraId="7FDE85BA">
      <w:pPr>
        <w:ind w:firstLine="643"/>
      </w:pPr>
      <w:r>
        <w:rPr>
          <w:rFonts w:hint="eastAsia"/>
          <w:b/>
          <w:bCs/>
        </w:rPr>
        <w:t>筑牢金融风险防控体系。</w:t>
      </w:r>
      <w:r>
        <w:rPr>
          <w:rFonts w:hint="eastAsia"/>
        </w:rPr>
        <w:t>强化风险监测预警，健全跨部门金融风险研判和协同处置机制，运用科技手段提升对地方金融组织和非金融企业风险的早期识别能力。强化非法集资综合治理，坚持打防结合、标本兼治，加强源头管控和宣传教育，打击各类非法集资犯罪行为。</w:t>
      </w:r>
    </w:p>
    <w:p w14:paraId="1F52C1EB">
      <w:pPr>
        <w:ind w:firstLine="643"/>
      </w:pPr>
      <w:r>
        <w:rPr>
          <w:rFonts w:hint="eastAsia"/>
          <w:b/>
          <w:bCs/>
        </w:rPr>
        <w:t>增强数据安全保障能力。</w:t>
      </w:r>
      <w:r>
        <w:rPr>
          <w:rFonts w:hint="eastAsia"/>
        </w:rPr>
        <w:t>提升数据安全监管能力，提高数据管理服务水平，统一采购网络安全服务，及时消除漏洞隐患，保障全县政务信息系统安全、稳定、高效运行。</w:t>
      </w:r>
    </w:p>
    <w:p w14:paraId="02A0C1A8">
      <w:pPr>
        <w:pStyle w:val="3"/>
        <w:spacing w:before="217" w:after="217"/>
      </w:pPr>
      <w:bookmarkStart w:id="375" w:name="_Toc211957155"/>
      <w:bookmarkStart w:id="376" w:name="_Toc237336702"/>
      <w:r>
        <w:rPr>
          <w:rFonts w:hint="eastAsia"/>
        </w:rPr>
        <w:t>第二节</w:t>
      </w:r>
      <w:r>
        <w:t xml:space="preserve"> </w:t>
      </w:r>
      <w:bookmarkEnd w:id="375"/>
      <w:r>
        <w:rPr>
          <w:rFonts w:hint="eastAsia"/>
        </w:rPr>
        <w:t>提升安全韧性能力</w:t>
      </w:r>
      <w:bookmarkEnd w:id="376"/>
    </w:p>
    <w:p w14:paraId="4411BF6A">
      <w:pPr>
        <w:ind w:firstLine="643"/>
      </w:pPr>
      <w:bookmarkStart w:id="377" w:name="_Hlk212314808"/>
      <w:r>
        <w:rPr>
          <w:rFonts w:hint="eastAsia"/>
          <w:b/>
          <w:bCs/>
        </w:rPr>
        <w:t>完善公共安全体系。</w:t>
      </w:r>
      <w:bookmarkEnd w:id="377"/>
      <w:r>
        <w:rPr>
          <w:rFonts w:hint="eastAsia"/>
        </w:rPr>
        <w:t>提高</w:t>
      </w:r>
      <w:r>
        <w:rPr>
          <w:rFonts w:hint="eastAsia"/>
          <w:bCs/>
        </w:rPr>
        <w:t>基层应急能力水平，强化</w:t>
      </w:r>
      <w:r>
        <w:rPr>
          <w:rFonts w:hint="eastAsia"/>
        </w:rPr>
        <w:t>交通、供电、供水、通信等关键基础设施的设防标准和备份能力。加强消防应急力量建设，配齐配强乡镇、街道专职消防站人员设备，确保专职消防站全部投入使用。完善物资装备保障，科学布局应急物资储备网络，建立高效的物资调拨、运输和配送机制。完善应急避难场所内供水、供电、厕所、医疗、标识等配套设施。</w:t>
      </w:r>
    </w:p>
    <w:p w14:paraId="51AD0E1D">
      <w:pPr>
        <w:ind w:firstLine="643"/>
      </w:pPr>
      <w:bookmarkStart w:id="378" w:name="_Hlk212314813"/>
      <w:r>
        <w:rPr>
          <w:rFonts w:hint="eastAsia"/>
          <w:b/>
          <w:bCs/>
        </w:rPr>
        <w:t>筑牢安全生产防线。</w:t>
      </w:r>
      <w:bookmarkEnd w:id="378"/>
      <w:r>
        <w:rPr>
          <w:rFonts w:hint="eastAsia"/>
        </w:rPr>
        <w:t>推进安全风险分级管控和隐患排查治理体系建设，健全完善企业隐患自查自改常态机制，压实企业主体责任。严格规范安全监管执法，深化危险化学品、矿山、建筑施工、交通运输、城镇燃气、消防安全等重点领域隐患治理，做好省属国有煤矿安全生产属地包保及安全监管工作。建立新产业、新业态监管职责动态调整机制，落实“三管三必须”要求，常态化开展消防安全集中整治、交通秩序和交通安全等专项整治，坚决防范遏制重大事故发生。</w:t>
      </w:r>
    </w:p>
    <w:p w14:paraId="7C8A0734">
      <w:pPr>
        <w:ind w:firstLine="643"/>
      </w:pPr>
      <w:bookmarkStart w:id="379" w:name="OLE_LINK157"/>
      <w:bookmarkStart w:id="380" w:name="OLE_LINK156"/>
      <w:r>
        <w:rPr>
          <w:rFonts w:hint="eastAsia"/>
          <w:b/>
          <w:bCs/>
        </w:rPr>
        <w:t>强化自然灾害风险防治。</w:t>
      </w:r>
      <w:r>
        <w:rPr>
          <w:rFonts w:hint="eastAsia"/>
          <w:bCs/>
        </w:rPr>
        <w:t>常态化开展洪涝、地质灾害、森林火灾、地震等主要灾种的隐患排查，实行清单化治理。同步推进河流治理、病险水库水闸除险加固、地质灾害隐患点综合治理、林区防火基础设施建设及城乡抗震设防能力提升，全面提高城乡工程防御标准与灾害设防水平。针对秀水河、八家子河等易涝河流，细化“一河一策”防洪标准。推进城区、开发区排水管网改造，完善区域排水防涝系统，有效缓解城市内涝。构建全域灾害监测网络，提升预警信息发布效率，建立精准有效的灾害“叫应”机制。到2030年，实现县内农田涝区机排控制面积从25万亩扩展至30万亩，达到10年一遇排涝标准；自排涝区排涝标准全面提升至5年一遇。</w:t>
      </w:r>
      <w:bookmarkEnd w:id="379"/>
      <w:bookmarkEnd w:id="380"/>
    </w:p>
    <w:p w14:paraId="1DB78BE7">
      <w:pPr>
        <w:ind w:firstLine="643"/>
      </w:pPr>
      <w:bookmarkStart w:id="381" w:name="OLE_LINK40"/>
      <w:r>
        <w:rPr>
          <w:rFonts w:hint="eastAsia"/>
          <w:b/>
          <w:bCs/>
        </w:rPr>
        <w:t>强化突发事件应急处置能力。</w:t>
      </w:r>
      <w:bookmarkEnd w:id="381"/>
      <w:bookmarkStart w:id="382" w:name="OLE_LINK209"/>
      <w:r>
        <w:rPr>
          <w:rFonts w:hint="eastAsia"/>
        </w:rPr>
        <w:t>强化现场指挥部规范化、标准化建设，提升灾害事故现场指挥与处置效能。</w:t>
      </w:r>
      <w:bookmarkEnd w:id="382"/>
      <w:r>
        <w:rPr>
          <w:rFonts w:hint="eastAsia"/>
        </w:rPr>
        <w:t>重点加大危化品、矿山、防汛抗旱、森林防灭火等先进适用装备配备力度，强化专业应急救援队伍专业技能培训和实战演练。推动应急管理资源和力量向基层下沉，加强乡村两级应急管理能力建设。持续完善辽宁省北部区域应急救援一体化合作机制，强化跨部门、跨区域协调联动。</w:t>
      </w:r>
    </w:p>
    <w:p w14:paraId="1842139E">
      <w:pPr>
        <w:ind w:firstLine="643"/>
      </w:pPr>
      <w:r>
        <w:rPr>
          <w:rFonts w:hint="eastAsia"/>
          <w:b/>
          <w:bCs/>
        </w:rPr>
        <w:t>完善食品药品安全责任体系。</w:t>
      </w:r>
      <w:r>
        <w:rPr>
          <w:rFonts w:hint="eastAsia"/>
        </w:rPr>
        <w:t>健全食品安全全链条监管机制，持续提高食品安全问题整治针对性和时效性。完善药品安全监管机制，强化药品安全线上线下全过程监管，确保用药安全。</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6"/>
      </w:tblGrid>
      <w:tr w14:paraId="34163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296" w:type="dxa"/>
          </w:tcPr>
          <w:p w14:paraId="3EC29B8D">
            <w:pPr>
              <w:pStyle w:val="25"/>
              <w:numPr>
                <w:ilvl w:val="0"/>
                <w:numId w:val="1"/>
              </w:numPr>
              <w:ind w:firstLineChars="0"/>
              <w:jc w:val="center"/>
              <w:rPr>
                <w:b/>
                <w:sz w:val="28"/>
                <w:szCs w:val="21"/>
              </w:rPr>
            </w:pPr>
            <w:bookmarkStart w:id="383" w:name="OLE_LINK418"/>
            <w:bookmarkStart w:id="384" w:name="OLE_LINK155"/>
            <w:r>
              <w:rPr>
                <w:rFonts w:hint="eastAsia"/>
                <w:b/>
                <w:sz w:val="28"/>
                <w:szCs w:val="21"/>
              </w:rPr>
              <w:t>安全韧性重点项目</w:t>
            </w:r>
            <w:bookmarkEnd w:id="383"/>
            <w:bookmarkEnd w:id="384"/>
          </w:p>
          <w:p w14:paraId="73E33D17">
            <w:pPr>
              <w:spacing w:line="320" w:lineRule="exact"/>
              <w:ind w:firstLine="422"/>
              <w:rPr>
                <w:bCs/>
                <w:sz w:val="21"/>
                <w:szCs w:val="21"/>
              </w:rPr>
            </w:pPr>
            <w:r>
              <w:rPr>
                <w:b/>
                <w:sz w:val="21"/>
                <w:szCs w:val="21"/>
              </w:rPr>
              <w:t>1.</w:t>
            </w:r>
            <w:r>
              <w:rPr>
                <w:rFonts w:hint="eastAsia"/>
                <w:b/>
                <w:sz w:val="21"/>
                <w:szCs w:val="21"/>
              </w:rPr>
              <w:t>东北区域（沈阳）综合性应急培训、安全教育体验、救援实训基地建设项目。</w:t>
            </w:r>
            <w:r>
              <w:rPr>
                <w:rFonts w:hint="eastAsia"/>
                <w:bCs/>
                <w:sz w:val="21"/>
                <w:szCs w:val="21"/>
              </w:rPr>
              <w:t>建设内容为安全生产、防灾减灾、防火防汛、救援救灾、实训体验场所及设施。</w:t>
            </w:r>
          </w:p>
          <w:p w14:paraId="2ECE7272">
            <w:pPr>
              <w:spacing w:line="320" w:lineRule="exact"/>
              <w:ind w:firstLine="422"/>
              <w:rPr>
                <w:b/>
                <w:sz w:val="21"/>
                <w:szCs w:val="21"/>
              </w:rPr>
            </w:pPr>
            <w:r>
              <w:rPr>
                <w:b/>
                <w:sz w:val="21"/>
                <w:szCs w:val="21"/>
              </w:rPr>
              <w:t>2.</w:t>
            </w:r>
            <w:r>
              <w:rPr>
                <w:rFonts w:hint="eastAsia"/>
                <w:b/>
                <w:sz w:val="21"/>
                <w:szCs w:val="21"/>
              </w:rPr>
              <w:t>康平县应急避难场所建设</w:t>
            </w:r>
            <w:bookmarkStart w:id="385" w:name="OLE_LINK225"/>
            <w:r>
              <w:rPr>
                <w:rFonts w:hint="eastAsia"/>
                <w:b/>
                <w:sz w:val="21"/>
                <w:szCs w:val="21"/>
              </w:rPr>
              <w:t>项目</w:t>
            </w:r>
            <w:bookmarkEnd w:id="385"/>
            <w:r>
              <w:rPr>
                <w:rFonts w:hint="eastAsia"/>
                <w:b/>
                <w:sz w:val="21"/>
                <w:szCs w:val="21"/>
              </w:rPr>
              <w:t>。</w:t>
            </w:r>
            <w:r>
              <w:rPr>
                <w:rFonts w:hint="eastAsia"/>
                <w:bCs/>
                <w:sz w:val="21"/>
                <w:szCs w:val="21"/>
              </w:rPr>
              <w:t>建设内容为在客运站广场和县工会工人俱乐部广场新建</w:t>
            </w:r>
            <w:r>
              <w:rPr>
                <w:bCs/>
                <w:sz w:val="21"/>
                <w:szCs w:val="21"/>
              </w:rPr>
              <w:t>2</w:t>
            </w:r>
            <w:r>
              <w:rPr>
                <w:rFonts w:hint="eastAsia"/>
                <w:bCs/>
                <w:sz w:val="21"/>
                <w:szCs w:val="21"/>
              </w:rPr>
              <w:t>处高标准避难场所。</w:t>
            </w:r>
          </w:p>
          <w:p w14:paraId="5DECA2CF">
            <w:pPr>
              <w:spacing w:line="320" w:lineRule="exact"/>
              <w:ind w:firstLine="422"/>
              <w:rPr>
                <w:bCs/>
                <w:sz w:val="21"/>
                <w:szCs w:val="21"/>
              </w:rPr>
            </w:pPr>
            <w:r>
              <w:rPr>
                <w:b/>
                <w:sz w:val="21"/>
                <w:szCs w:val="21"/>
              </w:rPr>
              <w:t>3.</w:t>
            </w:r>
            <w:r>
              <w:rPr>
                <w:rFonts w:hint="eastAsia"/>
                <w:b/>
                <w:sz w:val="21"/>
                <w:szCs w:val="21"/>
              </w:rPr>
              <w:t>康平县辽干北部右岸涝区排涝工程项目。</w:t>
            </w:r>
            <w:r>
              <w:rPr>
                <w:rFonts w:hint="eastAsia"/>
                <w:bCs/>
                <w:sz w:val="21"/>
                <w:szCs w:val="21"/>
              </w:rPr>
              <w:t>护岸工程包括八家子排干、李家河排干、蚂螂河险工、西马莲河、秀水河、八家子排干护砌；堤防工程包括新建堤防、堤防加固；新建排水泵站</w:t>
            </w:r>
            <w:r>
              <w:rPr>
                <w:bCs/>
                <w:sz w:val="21"/>
                <w:szCs w:val="21"/>
              </w:rPr>
              <w:t>3</w:t>
            </w:r>
            <w:r>
              <w:rPr>
                <w:rFonts w:hint="eastAsia"/>
                <w:bCs/>
                <w:sz w:val="21"/>
                <w:szCs w:val="21"/>
              </w:rPr>
              <w:t>座。</w:t>
            </w:r>
          </w:p>
          <w:p w14:paraId="1E9FF4E0">
            <w:pPr>
              <w:spacing w:line="320" w:lineRule="exact"/>
              <w:ind w:firstLine="422"/>
              <w:rPr>
                <w:bCs/>
                <w:sz w:val="21"/>
                <w:szCs w:val="21"/>
              </w:rPr>
            </w:pPr>
            <w:r>
              <w:rPr>
                <w:b/>
                <w:sz w:val="21"/>
                <w:szCs w:val="21"/>
              </w:rPr>
              <w:t>4.</w:t>
            </w:r>
            <w:r>
              <w:rPr>
                <w:rFonts w:hint="eastAsia"/>
                <w:b/>
                <w:sz w:val="21"/>
                <w:szCs w:val="21"/>
              </w:rPr>
              <w:t>辽宁省西辽河康平县段河道治理工程项目。</w:t>
            </w:r>
            <w:r>
              <w:rPr>
                <w:rFonts w:hint="eastAsia"/>
                <w:bCs/>
                <w:sz w:val="21"/>
                <w:szCs w:val="21"/>
              </w:rPr>
              <w:t>主要建设堤防加高</w:t>
            </w:r>
            <w:r>
              <w:rPr>
                <w:bCs/>
                <w:sz w:val="21"/>
                <w:szCs w:val="21"/>
              </w:rPr>
              <w:t>6.491</w:t>
            </w:r>
            <w:r>
              <w:rPr>
                <w:rFonts w:hint="eastAsia"/>
                <w:bCs/>
                <w:sz w:val="21"/>
                <w:szCs w:val="21"/>
              </w:rPr>
              <w:t>千米，险工治理</w:t>
            </w:r>
            <w:r>
              <w:rPr>
                <w:bCs/>
                <w:sz w:val="21"/>
                <w:szCs w:val="21"/>
              </w:rPr>
              <w:t>1.93</w:t>
            </w:r>
            <w:r>
              <w:rPr>
                <w:rFonts w:hint="eastAsia"/>
                <w:bCs/>
                <w:sz w:val="21"/>
                <w:szCs w:val="21"/>
              </w:rPr>
              <w:t>千米，穿堤防建筑物增设闸门一处。</w:t>
            </w:r>
          </w:p>
          <w:p w14:paraId="376A837A">
            <w:pPr>
              <w:spacing w:line="320" w:lineRule="exact"/>
              <w:ind w:firstLine="422"/>
              <w:rPr>
                <w:bCs/>
                <w:sz w:val="21"/>
                <w:szCs w:val="21"/>
              </w:rPr>
            </w:pPr>
            <w:r>
              <w:rPr>
                <w:b/>
                <w:bCs/>
                <w:sz w:val="21"/>
                <w:szCs w:val="21"/>
              </w:rPr>
              <w:t>5.</w:t>
            </w:r>
            <w:r>
              <w:rPr>
                <w:rFonts w:hint="eastAsia"/>
                <w:b/>
                <w:sz w:val="21"/>
                <w:szCs w:val="21"/>
              </w:rPr>
              <w:t>二道河河道治理工程项目。</w:t>
            </w:r>
            <w:r>
              <w:rPr>
                <w:rFonts w:hint="eastAsia"/>
                <w:bCs/>
                <w:sz w:val="21"/>
                <w:szCs w:val="21"/>
              </w:rPr>
              <w:t>对二道河</w:t>
            </w:r>
            <w:r>
              <w:rPr>
                <w:bCs/>
                <w:sz w:val="21"/>
                <w:szCs w:val="21"/>
              </w:rPr>
              <w:t>17</w:t>
            </w:r>
            <w:r>
              <w:rPr>
                <w:rFonts w:hint="eastAsia"/>
                <w:bCs/>
                <w:sz w:val="21"/>
                <w:szCs w:val="21"/>
              </w:rPr>
              <w:t>公里河道进行治理，包括河道清淤疏浚、防护工程、植物措施等工程。</w:t>
            </w:r>
          </w:p>
          <w:p w14:paraId="654F85F8">
            <w:pPr>
              <w:spacing w:line="320" w:lineRule="exact"/>
              <w:ind w:firstLine="422"/>
              <w:rPr>
                <w:bCs/>
                <w:sz w:val="21"/>
                <w:szCs w:val="21"/>
              </w:rPr>
            </w:pPr>
            <w:r>
              <w:rPr>
                <w:b/>
                <w:sz w:val="21"/>
                <w:szCs w:val="21"/>
              </w:rPr>
              <w:t>6.</w:t>
            </w:r>
            <w:r>
              <w:rPr>
                <w:rFonts w:hint="eastAsia"/>
                <w:b/>
                <w:sz w:val="21"/>
                <w:szCs w:val="21"/>
              </w:rPr>
              <w:t>康平县八家子河水毁修复工程项目。</w:t>
            </w:r>
            <w:r>
              <w:rPr>
                <w:rFonts w:hint="eastAsia"/>
                <w:bCs/>
                <w:sz w:val="21"/>
                <w:szCs w:val="21"/>
              </w:rPr>
              <w:t>建设石笼护岸</w:t>
            </w:r>
            <w:r>
              <w:rPr>
                <w:bCs/>
                <w:sz w:val="21"/>
                <w:szCs w:val="21"/>
              </w:rPr>
              <w:t>10000</w:t>
            </w:r>
            <w:r>
              <w:rPr>
                <w:rFonts w:hint="eastAsia"/>
                <w:bCs/>
                <w:sz w:val="21"/>
                <w:szCs w:val="21"/>
              </w:rPr>
              <w:t>米。</w:t>
            </w:r>
          </w:p>
          <w:p w14:paraId="638FA957">
            <w:pPr>
              <w:spacing w:line="320" w:lineRule="exact"/>
              <w:ind w:firstLine="422"/>
              <w:rPr>
                <w:bCs/>
                <w:sz w:val="21"/>
                <w:szCs w:val="21"/>
              </w:rPr>
            </w:pPr>
            <w:r>
              <w:rPr>
                <w:b/>
                <w:sz w:val="21"/>
                <w:szCs w:val="21"/>
              </w:rPr>
              <w:t>7.</w:t>
            </w:r>
            <w:r>
              <w:rPr>
                <w:rFonts w:hint="eastAsia"/>
                <w:b/>
                <w:sz w:val="21"/>
                <w:szCs w:val="21"/>
              </w:rPr>
              <w:t>辽宁省秀水河河道治理工程项目。</w:t>
            </w:r>
            <w:r>
              <w:rPr>
                <w:rFonts w:hint="eastAsia"/>
                <w:bCs/>
                <w:sz w:val="21"/>
                <w:szCs w:val="21"/>
              </w:rPr>
              <w:t>治理段终点为张家窑水库溢洪道以及新建护岸、疏浚、植物措施等工程。</w:t>
            </w:r>
          </w:p>
          <w:p w14:paraId="75015524">
            <w:pPr>
              <w:spacing w:line="320" w:lineRule="exact"/>
              <w:ind w:firstLine="422"/>
              <w:rPr>
                <w:bCs/>
                <w:sz w:val="21"/>
                <w:szCs w:val="21"/>
              </w:rPr>
            </w:pPr>
            <w:r>
              <w:rPr>
                <w:b/>
                <w:sz w:val="21"/>
                <w:szCs w:val="21"/>
              </w:rPr>
              <w:t>8.</w:t>
            </w:r>
            <w:r>
              <w:rPr>
                <w:rFonts w:hint="eastAsia"/>
                <w:b/>
                <w:sz w:val="21"/>
                <w:szCs w:val="21"/>
              </w:rPr>
              <w:t>康平县东马莲河小城子腰段村段水毁修复工程。</w:t>
            </w:r>
            <w:r>
              <w:rPr>
                <w:rFonts w:hint="eastAsia"/>
                <w:bCs/>
                <w:sz w:val="21"/>
                <w:szCs w:val="21"/>
              </w:rPr>
              <w:t>建设石笼护岸</w:t>
            </w:r>
            <w:r>
              <w:rPr>
                <w:bCs/>
                <w:sz w:val="21"/>
                <w:szCs w:val="21"/>
              </w:rPr>
              <w:t>200</w:t>
            </w:r>
            <w:r>
              <w:rPr>
                <w:rFonts w:hint="eastAsia"/>
                <w:bCs/>
                <w:sz w:val="21"/>
                <w:szCs w:val="21"/>
              </w:rPr>
              <w:t>米。</w:t>
            </w:r>
          </w:p>
          <w:p w14:paraId="1545D4A4">
            <w:pPr>
              <w:spacing w:line="320" w:lineRule="exact"/>
              <w:ind w:firstLine="422"/>
              <w:rPr>
                <w:bCs/>
                <w:sz w:val="21"/>
                <w:szCs w:val="21"/>
              </w:rPr>
            </w:pPr>
            <w:r>
              <w:rPr>
                <w:b/>
                <w:sz w:val="21"/>
                <w:szCs w:val="21"/>
              </w:rPr>
              <w:t>9.</w:t>
            </w:r>
            <w:r>
              <w:rPr>
                <w:rFonts w:hint="eastAsia"/>
                <w:b/>
                <w:sz w:val="21"/>
                <w:szCs w:val="21"/>
              </w:rPr>
              <w:t>康平县城区防洪排涝北泵站建设项目。</w:t>
            </w:r>
            <w:r>
              <w:rPr>
                <w:rFonts w:hint="eastAsia"/>
                <w:bCs/>
                <w:sz w:val="21"/>
                <w:szCs w:val="21"/>
              </w:rPr>
              <w:t>在中水明渠上新建排涝北泵站，增强城区防洪排涝能力。</w:t>
            </w:r>
          </w:p>
          <w:p w14:paraId="4473E87F">
            <w:pPr>
              <w:spacing w:line="320" w:lineRule="exact"/>
              <w:ind w:firstLine="422"/>
              <w:rPr>
                <w:sz w:val="21"/>
                <w:szCs w:val="21"/>
              </w:rPr>
            </w:pPr>
            <w:r>
              <w:rPr>
                <w:b/>
                <w:sz w:val="21"/>
                <w:szCs w:val="21"/>
              </w:rPr>
              <w:t>10.</w:t>
            </w:r>
            <w:r>
              <w:rPr>
                <w:rFonts w:hint="eastAsia"/>
                <w:b/>
                <w:sz w:val="21"/>
                <w:szCs w:val="21"/>
              </w:rPr>
              <w:t>康平县气象预报预警业务能力提升项目。</w:t>
            </w:r>
            <w:r>
              <w:rPr>
                <w:rFonts w:hint="eastAsia"/>
                <w:sz w:val="21"/>
                <w:szCs w:val="21"/>
              </w:rPr>
              <w:t>建设内容包含雨量监测站、数据采集分析软件平台、城市内涝监测站、生态环境监测站、旅游生态气象服务平台、雪深观测站、数据采集分析推送发布系统等设施。</w:t>
            </w:r>
          </w:p>
          <w:p w14:paraId="5182E118">
            <w:pPr>
              <w:spacing w:line="320" w:lineRule="exact"/>
              <w:ind w:firstLine="422"/>
              <w:rPr>
                <w:sz w:val="21"/>
                <w:szCs w:val="21"/>
              </w:rPr>
            </w:pPr>
            <w:bookmarkStart w:id="386" w:name="OLE_LINK233"/>
            <w:bookmarkStart w:id="387" w:name="OLE_LINK232"/>
            <w:bookmarkStart w:id="388" w:name="OLE_LINK231"/>
            <w:r>
              <w:rPr>
                <w:b/>
                <w:sz w:val="21"/>
                <w:szCs w:val="21"/>
              </w:rPr>
              <w:t>11.</w:t>
            </w:r>
            <w:r>
              <w:rPr>
                <w:rFonts w:hint="eastAsia"/>
                <w:b/>
                <w:sz w:val="21"/>
                <w:szCs w:val="21"/>
              </w:rPr>
              <w:t>康平县生物化工产业园基础设施（一期）建设项目。</w:t>
            </w:r>
            <w:r>
              <w:rPr>
                <w:rFonts w:hint="eastAsia"/>
                <w:sz w:val="21"/>
                <w:szCs w:val="21"/>
              </w:rPr>
              <w:t>建设内容包括新建污水处理厂、事故应急池、建设危化品运输车辆停车场，及安全风险智能化管控平台及封闭化管理建设。</w:t>
            </w:r>
          </w:p>
          <w:p w14:paraId="42E93BA7">
            <w:pPr>
              <w:spacing w:line="320" w:lineRule="exact"/>
              <w:ind w:firstLine="422"/>
              <w:rPr>
                <w:sz w:val="21"/>
                <w:szCs w:val="21"/>
              </w:rPr>
            </w:pPr>
            <w:r>
              <w:rPr>
                <w:b/>
                <w:sz w:val="21"/>
                <w:szCs w:val="21"/>
              </w:rPr>
              <w:t>12.</w:t>
            </w:r>
            <w:r>
              <w:rPr>
                <w:rFonts w:hint="eastAsia"/>
                <w:b/>
                <w:sz w:val="21"/>
                <w:szCs w:val="21"/>
              </w:rPr>
              <w:t>沈阳生物化工产业园消防站建设项目。</w:t>
            </w:r>
            <w:r>
              <w:rPr>
                <w:rFonts w:hint="eastAsia"/>
                <w:sz w:val="21"/>
                <w:szCs w:val="21"/>
              </w:rPr>
              <w:t>建设一级消防站同时兼顾部分气防站功能，场地内设计体能训练场、训练塔等模拟训练设施。</w:t>
            </w:r>
          </w:p>
          <w:p w14:paraId="049ED4E5">
            <w:pPr>
              <w:spacing w:line="320" w:lineRule="exact"/>
              <w:ind w:firstLine="422"/>
              <w:rPr>
                <w:bCs/>
                <w:sz w:val="21"/>
                <w:szCs w:val="21"/>
              </w:rPr>
            </w:pPr>
            <w:r>
              <w:rPr>
                <w:b/>
                <w:sz w:val="21"/>
                <w:szCs w:val="21"/>
              </w:rPr>
              <w:t>13.</w:t>
            </w:r>
            <w:r>
              <w:rPr>
                <w:rFonts w:hint="eastAsia"/>
                <w:b/>
                <w:sz w:val="21"/>
                <w:szCs w:val="21"/>
              </w:rPr>
              <w:t>康平开发区纺织园</w:t>
            </w:r>
            <w:r>
              <w:rPr>
                <w:b/>
                <w:sz w:val="21"/>
                <w:szCs w:val="21"/>
              </w:rPr>
              <w:t>1-4</w:t>
            </w:r>
            <w:r>
              <w:rPr>
                <w:rFonts w:hint="eastAsia"/>
                <w:b/>
                <w:sz w:val="21"/>
                <w:szCs w:val="21"/>
              </w:rPr>
              <w:t>号路主管道排水工程项目。</w:t>
            </w:r>
            <w:r>
              <w:rPr>
                <w:rFonts w:hint="eastAsia"/>
                <w:sz w:val="21"/>
                <w:szCs w:val="21"/>
              </w:rPr>
              <w:t>建设内容包括新建雨水主管道，新建一体化预制泵站。</w:t>
            </w:r>
            <w:bookmarkEnd w:id="386"/>
            <w:bookmarkEnd w:id="387"/>
            <w:bookmarkEnd w:id="388"/>
          </w:p>
        </w:tc>
      </w:tr>
    </w:tbl>
    <w:p w14:paraId="14F70F1B">
      <w:pPr>
        <w:pStyle w:val="3"/>
        <w:spacing w:before="217" w:after="217"/>
      </w:pPr>
      <w:bookmarkStart w:id="389" w:name="_Toc211957158"/>
      <w:bookmarkStart w:id="390" w:name="_Toc237336703"/>
      <w:bookmarkStart w:id="391" w:name="_Hlk212314830"/>
      <w:r>
        <w:rPr>
          <w:rFonts w:hint="eastAsia"/>
        </w:rPr>
        <w:t>第三节</w:t>
      </w:r>
      <w:r>
        <w:t xml:space="preserve"> </w:t>
      </w:r>
      <w:bookmarkEnd w:id="389"/>
      <w:r>
        <w:rPr>
          <w:rFonts w:hint="eastAsia"/>
        </w:rPr>
        <w:t>加快提高社会治理水平</w:t>
      </w:r>
      <w:bookmarkEnd w:id="390"/>
    </w:p>
    <w:bookmarkEnd w:id="391"/>
    <w:p w14:paraId="030E1588">
      <w:pPr>
        <w:ind w:firstLine="643"/>
        <w:rPr>
          <w:b/>
        </w:rPr>
      </w:pPr>
      <w:bookmarkStart w:id="392" w:name="_Hlk206056714"/>
      <w:r>
        <w:rPr>
          <w:rFonts w:hint="eastAsia"/>
          <w:b/>
        </w:rPr>
        <w:t>夯实基层治理工作机制。</w:t>
      </w:r>
      <w:r>
        <w:rPr>
          <w:rFonts w:hint="eastAsia"/>
          <w:bCs/>
        </w:rPr>
        <w:t>强化党建引领，深化街道、社区党建联席会议制度，做实网格党支部、楼栋党小组，增强党组织在基层的统筹协调能力。推进基层依法治理，加强自治组织规范化建设。聚焦群众急难愁盼问题，持续开展“敲门行动”“暖心行动”。提升基层社会治理能力，推动“互联网+”基层治理，增强基层为民服务能力和议事协商能力建设，构建多元参与的社会治理体系。加强社区工作者队伍建设，</w:t>
      </w:r>
      <w:bookmarkStart w:id="393" w:name="OLE_LINK189"/>
      <w:bookmarkStart w:id="394" w:name="OLE_LINK190"/>
      <w:r>
        <w:rPr>
          <w:rFonts w:hint="eastAsia"/>
          <w:bCs/>
        </w:rPr>
        <w:t>建立“能者上、庸者下”管人用人机制</w:t>
      </w:r>
      <w:bookmarkEnd w:id="393"/>
      <w:bookmarkEnd w:id="394"/>
      <w:r>
        <w:rPr>
          <w:rFonts w:hint="eastAsia"/>
          <w:bCs/>
        </w:rPr>
        <w:t>，优化社区工作者管理体系。深入开展社区（村）“三零”工作室建设，推动关口前移、力量下沉，夯实基层平安阵地。</w:t>
      </w:r>
    </w:p>
    <w:bookmarkEnd w:id="392"/>
    <w:p w14:paraId="5A5442F3">
      <w:pPr>
        <w:autoSpaceDE w:val="0"/>
        <w:ind w:firstLine="643"/>
      </w:pPr>
      <w:bookmarkStart w:id="395" w:name="OLE_LINK611"/>
      <w:bookmarkStart w:id="396" w:name="OLE_LINK612"/>
      <w:bookmarkStart w:id="397" w:name="_Hlk212314844"/>
      <w:bookmarkStart w:id="398" w:name="OLE_LINK43"/>
      <w:r>
        <w:rPr>
          <w:rFonts w:hint="eastAsia"/>
          <w:b/>
          <w:bCs/>
        </w:rPr>
        <w:t>推进信访工作法治化</w:t>
      </w:r>
      <w:bookmarkEnd w:id="395"/>
      <w:bookmarkEnd w:id="396"/>
      <w:r>
        <w:rPr>
          <w:rFonts w:hint="eastAsia"/>
          <w:b/>
          <w:bCs/>
        </w:rPr>
        <w:t>。</w:t>
      </w:r>
      <w:bookmarkEnd w:id="397"/>
      <w:bookmarkEnd w:id="398"/>
      <w:r>
        <w:rPr>
          <w:rFonts w:hint="eastAsia"/>
        </w:rPr>
        <w:t>增强人民群众依法信访意识，引导群众依法理性反映诉求、维护权益，解决群众“信访不信法”问题，依法打击缠访闹访，维护县域信访法治秩序。深入实施信访工作法治化，推动转办督办、按时处理、监督问责、依法处理全面到位，提升“事要解决、事心双解”质效。</w:t>
      </w:r>
    </w:p>
    <w:p w14:paraId="3E1014EF">
      <w:pPr>
        <w:ind w:firstLine="643"/>
      </w:pPr>
      <w:r>
        <w:rPr>
          <w:rFonts w:hint="eastAsia"/>
          <w:b/>
        </w:rPr>
        <w:t>强化社会治安管控。</w:t>
      </w:r>
      <w:r>
        <w:rPr>
          <w:rFonts w:hint="eastAsia"/>
        </w:rPr>
        <w:t>深化社会治安整体防控体系和能力建设，常态化开展扫黑除恶，加大预防和打击电信网络诈骗、毒品犯罪等力度，有力维护社会稳定。深入推进“2+3+4”警务运行改革，完善“智能+干部矛盾化解专业队”新时代“枫桥经验”康平模式，深化“交所联勤”全警管交通体系，优化110社会联动机制。</w:t>
      </w:r>
    </w:p>
    <w:p w14:paraId="41CD85AC">
      <w:pPr>
        <w:pStyle w:val="2"/>
        <w:spacing w:before="217" w:after="217"/>
        <w:rPr>
          <w:b w:val="0"/>
          <w:bCs/>
        </w:rPr>
      </w:pPr>
      <w:bookmarkStart w:id="399" w:name="_Toc237336704"/>
      <w:r>
        <w:rPr>
          <w:rFonts w:hint="eastAsia"/>
          <w:b w:val="0"/>
          <w:bCs/>
        </w:rPr>
        <w:t>第十三章</w:t>
      </w:r>
      <w:r>
        <w:rPr>
          <w:b w:val="0"/>
          <w:bCs/>
        </w:rPr>
        <w:t xml:space="preserve"> </w:t>
      </w:r>
      <w:bookmarkStart w:id="400" w:name="OLE_LINK220"/>
      <w:r>
        <w:rPr>
          <w:rFonts w:hint="eastAsia"/>
          <w:b w:val="0"/>
          <w:bCs/>
        </w:rPr>
        <w:t>扎实推进规划实施</w:t>
      </w:r>
      <w:r>
        <w:rPr>
          <w:b w:val="0"/>
          <w:bCs/>
        </w:rPr>
        <w:t xml:space="preserve"> </w:t>
      </w:r>
      <w:r>
        <w:rPr>
          <w:rFonts w:hint="eastAsia"/>
          <w:b w:val="0"/>
          <w:bCs/>
        </w:rPr>
        <w:t>奋力实现发展蓝图</w:t>
      </w:r>
      <w:bookmarkEnd w:id="399"/>
      <w:bookmarkEnd w:id="400"/>
    </w:p>
    <w:p w14:paraId="7D68695B">
      <w:pPr>
        <w:ind w:firstLine="640"/>
      </w:pPr>
      <w:r>
        <w:rPr>
          <w:rFonts w:hint="eastAsia"/>
        </w:rPr>
        <w:t>充分发挥党总揽全局、协调各方的领导核心作用，强化政策、项目、资金等要素保障，健全规划实施机制。强化规划引领，实施规划监测评估，充分调动全社会积极性，确保规划目标任务顺利实现。</w:t>
      </w:r>
    </w:p>
    <w:p w14:paraId="70200C0B">
      <w:pPr>
        <w:pStyle w:val="3"/>
        <w:spacing w:before="217" w:after="217"/>
      </w:pPr>
      <w:bookmarkStart w:id="401" w:name="_Toc237336705"/>
      <w:r>
        <w:rPr>
          <w:rFonts w:hint="eastAsia"/>
        </w:rPr>
        <w:t>第一节</w:t>
      </w:r>
      <w:r>
        <w:t xml:space="preserve"> </w:t>
      </w:r>
      <w:r>
        <w:rPr>
          <w:rFonts w:hint="eastAsia"/>
        </w:rPr>
        <w:t>坚持党的全面领导</w:t>
      </w:r>
      <w:bookmarkEnd w:id="401"/>
    </w:p>
    <w:p w14:paraId="65A3ED28">
      <w:pPr>
        <w:ind w:firstLine="640"/>
      </w:pPr>
      <w:r>
        <w:rPr>
          <w:rFonts w:hint="eastAsia"/>
        </w:rPr>
        <w:t>坚决维护党中央权威和集中统一领导。把党的领导贯穿经济社会发展各方面全过程，增强党的政治领导力、思想引领力、群众组织力、社会号召力，提高党领导经济社会发展能力和水平。深入学习贯彻习近平新时代中国特色社会主义思想，坚定理想信念，牢记初心使命，增强“四个意识”、坚定“四个自信”、做到“两个维护”，落实意识形态工作责任制，不折不扣贯彻落实中央、省市委决策部署和县委具体要求。落实全面从严治党主体责任、监督责任，提高党的建设质量。</w:t>
      </w:r>
      <w:bookmarkStart w:id="402" w:name="OLE_LINK221"/>
      <w:r>
        <w:rPr>
          <w:rFonts w:hint="eastAsia"/>
        </w:rPr>
        <w:t>推进党的组织体系建设，发挥广大党员先锋模范作用，把各领域基层党组织建设成为坚强战斗堡垒。</w:t>
      </w:r>
    </w:p>
    <w:p w14:paraId="19673B9B">
      <w:pPr>
        <w:pStyle w:val="3"/>
        <w:spacing w:before="217" w:after="217"/>
      </w:pPr>
      <w:bookmarkStart w:id="403" w:name="_Toc237336706"/>
      <w:r>
        <w:rPr>
          <w:rFonts w:hint="eastAsia"/>
        </w:rPr>
        <w:t>第二节 完善规划实施机制</w:t>
      </w:r>
      <w:bookmarkEnd w:id="403"/>
    </w:p>
    <w:p w14:paraId="6F2A2F42">
      <w:pPr>
        <w:ind w:firstLine="640"/>
      </w:pPr>
      <w:bookmarkStart w:id="404" w:name="OLE_LINK227"/>
      <w:bookmarkStart w:id="405" w:name="OLE_LINK228"/>
      <w:r>
        <w:rPr>
          <w:rFonts w:hint="eastAsia"/>
        </w:rPr>
        <w:t>将本规划确定的主要指标分解纳入年度计划指标体系，并做好年度间综合平衡。建立规划任务分工体系，提高统筹能力，按照部门职责分工，明确“十五五”规划中的重大改革、重大政策、重大平台、重大项目和重点任务的责任单位，分解落实各项任务。坚持项目跟着规划走、资金和要素跟着项目走、监管跟着项目和资金走，统筹优化存量资源配置和增量资源供给，保障本规划确定的重大工程项目落地实施。</w:t>
      </w:r>
      <w:bookmarkEnd w:id="402"/>
      <w:bookmarkEnd w:id="404"/>
      <w:bookmarkEnd w:id="405"/>
    </w:p>
    <w:p w14:paraId="04D083FC">
      <w:pPr>
        <w:pStyle w:val="3"/>
        <w:spacing w:before="217" w:after="217"/>
      </w:pPr>
      <w:bookmarkStart w:id="406" w:name="_Toc237336707"/>
      <w:r>
        <w:rPr>
          <w:rFonts w:hint="eastAsia"/>
        </w:rPr>
        <w:t>第三节 推进规划全周期管理</w:t>
      </w:r>
      <w:bookmarkEnd w:id="406"/>
    </w:p>
    <w:p w14:paraId="4DD4CB88">
      <w:pPr>
        <w:ind w:firstLine="640"/>
      </w:pPr>
      <w:bookmarkStart w:id="407" w:name="OLE_LINK230"/>
      <w:bookmarkStart w:id="408" w:name="OLE_LINK229"/>
      <w:r>
        <w:rPr>
          <w:rFonts w:hint="eastAsia"/>
        </w:rPr>
        <w:t>健全监测评估机制，深入开展实施情况动态监测，将监测结果作为加强和改进规划实施的重要依据。开展规划实施评估，及时向县委、县政府请示报告发展规划实施情况，并依法提请县人大常委会审议。健全监督考核机制，规划实施情况要纳入考核评价体系，接受县人大监督、审计监督和社会监督，确保规划目标任务落到实处。加强规划宣传，完善规划实施的公众参与机制，推进规划实施信息公开，营造全社会共同参与和支持规划实施的良好氛围。</w:t>
      </w:r>
      <w:bookmarkEnd w:id="407"/>
      <w:bookmarkEnd w:id="408"/>
    </w:p>
    <w:sectPr>
      <w:headerReference r:id="rId18" w:type="first"/>
      <w:headerReference r:id="rId16" w:type="default"/>
      <w:footerReference r:id="rId19" w:type="default"/>
      <w:headerReference r:id="rId17" w:type="even"/>
      <w:footerReference r:id="rId20" w:type="even"/>
      <w:pgSz w:w="11906" w:h="16838"/>
      <w:pgMar w:top="1440" w:right="1800" w:bottom="1440" w:left="1800" w:header="851" w:footer="405" w:gutter="0"/>
      <w:pgNumType w:start="1"/>
      <w:cols w:space="425" w:num="1"/>
      <w:docGrid w:type="lines" w:linePitch="43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Calibri Light">
    <w:panose1 w:val="020F03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方正小标宋简体">
    <w:altName w:val="黑体"/>
    <w:panose1 w:val="00000000000000000000"/>
    <w:charset w:val="86"/>
    <w:family w:val="script"/>
    <w:pitch w:val="default"/>
    <w:sig w:usb0="00000000" w:usb1="00000000" w:usb2="00000000" w:usb3="00000000" w:csb0="00040000" w:csb1="00000000"/>
  </w:font>
  <w:font w:name="方正小标宋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 w:name="楷体_GB2312">
    <w:altName w:val="楷体"/>
    <w:panose1 w:val="02010609030101010101"/>
    <w:charset w:val="86"/>
    <w:family w:val="modern"/>
    <w:pitch w:val="default"/>
    <w:sig w:usb0="00000000" w:usb1="00000000" w:usb2="00000010" w:usb3="00000000" w:csb0="00040000" w:csb1="00000000"/>
  </w:font>
  <w:font w:name="Segoe UI">
    <w:panose1 w:val="020B0502040204020203"/>
    <w:charset w:val="00"/>
    <w:family w:val="swiss"/>
    <w:pitch w:val="default"/>
    <w:sig w:usb0="E4002EFF" w:usb1="C000E47F" w:usb2="00000009" w:usb3="00000000" w:csb0="200001FF" w:csb1="00000000"/>
  </w:font>
  <w:font w:name="KSOFE44F942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A10FB5">
    <w:pPr>
      <w:pStyle w:val="10"/>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736C4A">
    <w:pPr>
      <w:pStyle w:val="10"/>
      <w:ind w:firstLine="360"/>
      <w:jc w:val="center"/>
    </w:pPr>
  </w:p>
  <w:p w14:paraId="576E7E8C">
    <w:pPr>
      <w:pStyle w:val="10"/>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151595">
    <w:pPr>
      <w:pStyle w:val="10"/>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988280040"/>
    </w:sdtPr>
    <w:sdtContent>
      <w:p w14:paraId="7C06CD16">
        <w:pPr>
          <w:pStyle w:val="10"/>
          <w:ind w:firstLine="360"/>
          <w:jc w:val="center"/>
        </w:pPr>
        <w:r>
          <w:fldChar w:fldCharType="begin"/>
        </w:r>
        <w:r>
          <w:instrText xml:space="preserve">PAGE   \* MERGEFORMAT</w:instrText>
        </w:r>
        <w:r>
          <w:fldChar w:fldCharType="separate"/>
        </w:r>
        <w:r>
          <w:rPr>
            <w:lang w:val="zh-CN"/>
          </w:rPr>
          <w:t>III</w:t>
        </w:r>
        <w:r>
          <w:fldChar w:fldCharType="end"/>
        </w:r>
      </w:p>
    </w:sdtContent>
  </w:sdt>
  <w:p w14:paraId="5A2E67EB">
    <w:pPr>
      <w:pStyle w:val="10"/>
      <w:ind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826896969"/>
    </w:sdtPr>
    <w:sdtContent>
      <w:p w14:paraId="682459FB">
        <w:pPr>
          <w:pStyle w:val="10"/>
          <w:ind w:firstLine="360"/>
          <w:jc w:val="center"/>
        </w:pPr>
        <w:r>
          <w:fldChar w:fldCharType="begin"/>
        </w:r>
        <w:r>
          <w:instrText xml:space="preserve">PAGE   \* MERGEFORMAT</w:instrText>
        </w:r>
        <w:r>
          <w:fldChar w:fldCharType="separate"/>
        </w:r>
        <w:r>
          <w:rPr>
            <w:lang w:val="zh-CN"/>
          </w:rPr>
          <w:t>II</w:t>
        </w:r>
        <w:r>
          <w:fldChar w:fldCharType="end"/>
        </w:r>
      </w:p>
    </w:sdtContent>
  </w:sdt>
  <w:p w14:paraId="3EC5EADD">
    <w:pPr>
      <w:pStyle w:val="10"/>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281224539"/>
    </w:sdtPr>
    <w:sdtContent>
      <w:p w14:paraId="3965E330">
        <w:pPr>
          <w:pStyle w:val="10"/>
          <w:ind w:firstLine="360"/>
          <w:jc w:val="right"/>
        </w:pPr>
        <w:r>
          <w:fldChar w:fldCharType="begin"/>
        </w:r>
        <w:r>
          <w:instrText xml:space="preserve">PAGE   \* MERGEFORMAT</w:instrText>
        </w:r>
        <w:r>
          <w:fldChar w:fldCharType="separate"/>
        </w:r>
        <w:r>
          <w:rPr>
            <w:lang w:val="zh-CN"/>
          </w:rPr>
          <w:t>51</w:t>
        </w:r>
        <w:r>
          <w:fldChar w:fldCharType="end"/>
        </w:r>
      </w:p>
    </w:sdtContent>
  </w:sdt>
  <w:p w14:paraId="67BCC15F">
    <w:pPr>
      <w:pStyle w:val="10"/>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153672403"/>
    </w:sdtPr>
    <w:sdtContent>
      <w:p w14:paraId="428AAEE8">
        <w:pPr>
          <w:pStyle w:val="10"/>
          <w:ind w:firstLine="360"/>
        </w:pPr>
        <w:r>
          <w:fldChar w:fldCharType="begin"/>
        </w:r>
        <w:r>
          <w:instrText xml:space="preserve">PAGE   \* MERGEFORMAT</w:instrText>
        </w:r>
        <w:r>
          <w:fldChar w:fldCharType="separate"/>
        </w:r>
        <w:r>
          <w:rPr>
            <w:lang w:val="zh-CN"/>
          </w:rPr>
          <w:t>52</w:t>
        </w:r>
        <w:r>
          <w:fldChar w:fldCharType="end"/>
        </w:r>
      </w:p>
    </w:sdtContent>
  </w:sdt>
  <w:p w14:paraId="66BBF622">
    <w:pPr>
      <w:pStyle w:val="10"/>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FFED0E">
    <w:pPr>
      <w:pStyle w:val="11"/>
      <w:pBdr>
        <w:bottom w:val="none" w:color="auto" w:sz="0" w:space="0"/>
      </w:pBdr>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1BA7C">
    <w:pPr>
      <w:pStyle w:val="11"/>
      <w:pBdr>
        <w:bottom w:val="none" w:color="auto" w:sz="0" w:space="0"/>
      </w:pBdr>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5642DD">
    <w:pPr>
      <w:pStyle w:val="11"/>
      <w:ind w:firstLine="36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DACFBA">
    <w:pPr>
      <w:pStyle w:val="11"/>
      <w:pBdr>
        <w:bottom w:val="none" w:color="auto" w:sz="0" w:space="0"/>
      </w:pBdr>
      <w:ind w:firstLine="36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0F373A">
    <w:pPr>
      <w:pStyle w:val="11"/>
      <w:pBdr>
        <w:bottom w:val="none" w:color="auto" w:sz="0" w:space="0"/>
      </w:pBdr>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2351D3">
    <w:pPr>
      <w:pStyle w:val="11"/>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D311C7">
    <w:pPr>
      <w:pStyle w:val="11"/>
      <w:pBdr>
        <w:bottom w:val="none" w:color="auto" w:sz="0" w:space="0"/>
      </w:pBdr>
      <w:ind w:firstLine="360"/>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C68074">
    <w:pPr>
      <w:pStyle w:val="11"/>
      <w:pBdr>
        <w:bottom w:val="none" w:color="auto" w:sz="0" w:space="0"/>
      </w:pBdr>
      <w:ind w:firstLine="36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B363139">
    <w:pPr>
      <w:pStyle w:val="11"/>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B6922DB"/>
    <w:multiLevelType w:val="multilevel"/>
    <w:tmpl w:val="5B6922DB"/>
    <w:lvl w:ilvl="0" w:tentative="0">
      <w:start w:val="1"/>
      <w:numFmt w:val="decimal"/>
      <w:lvlText w:val="专栏%1"/>
      <w:lvlJc w:val="left"/>
      <w:pPr>
        <w:ind w:left="420" w:hanging="420"/>
      </w:pPr>
      <w:rPr>
        <w:rFonts w:hint="default" w:ascii="Times New Roman" w:hAnsi="Times New Roman" w:eastAsia="楷体"/>
        <w:b/>
        <w:sz w:val="28"/>
        <w:szCs w:val="28"/>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8"/>
  <w:embedSystemFonts/>
  <w:bordersDoNotSurroundHeader w:val="1"/>
  <w:bordersDoNotSurroundFooter w:val="1"/>
  <w:documentProtection w:enforcement="0"/>
  <w:defaultTabStop w:val="420"/>
  <w:evenAndOddHeaders w:val="1"/>
  <w:drawingGridHorizontalSpacing w:val="160"/>
  <w:drawingGridVerticalSpacing w:val="435"/>
  <w:displayHorizontalDrawingGridEvery w:val="0"/>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C0027DF"/>
    <w:rsid w:val="00000A1A"/>
    <w:rsid w:val="0000197E"/>
    <w:rsid w:val="00001F54"/>
    <w:rsid w:val="000022AF"/>
    <w:rsid w:val="00002362"/>
    <w:rsid w:val="00002396"/>
    <w:rsid w:val="00002446"/>
    <w:rsid w:val="00002AEA"/>
    <w:rsid w:val="00003031"/>
    <w:rsid w:val="0000362E"/>
    <w:rsid w:val="00003778"/>
    <w:rsid w:val="00003AB7"/>
    <w:rsid w:val="00004E35"/>
    <w:rsid w:val="00006422"/>
    <w:rsid w:val="000067D0"/>
    <w:rsid w:val="000067DB"/>
    <w:rsid w:val="0000689E"/>
    <w:rsid w:val="00007D81"/>
    <w:rsid w:val="00007E7E"/>
    <w:rsid w:val="00007F43"/>
    <w:rsid w:val="000108F7"/>
    <w:rsid w:val="00011DA1"/>
    <w:rsid w:val="00012446"/>
    <w:rsid w:val="00012502"/>
    <w:rsid w:val="00012646"/>
    <w:rsid w:val="00012934"/>
    <w:rsid w:val="000135F8"/>
    <w:rsid w:val="000142A6"/>
    <w:rsid w:val="000145A3"/>
    <w:rsid w:val="00014740"/>
    <w:rsid w:val="00017A34"/>
    <w:rsid w:val="00017C2E"/>
    <w:rsid w:val="000200CC"/>
    <w:rsid w:val="000204A0"/>
    <w:rsid w:val="00020CB3"/>
    <w:rsid w:val="00020CCA"/>
    <w:rsid w:val="00020EB3"/>
    <w:rsid w:val="000213BC"/>
    <w:rsid w:val="000220EC"/>
    <w:rsid w:val="00023056"/>
    <w:rsid w:val="000245F4"/>
    <w:rsid w:val="00024E53"/>
    <w:rsid w:val="0002533D"/>
    <w:rsid w:val="000266D0"/>
    <w:rsid w:val="00027731"/>
    <w:rsid w:val="00032F76"/>
    <w:rsid w:val="00033508"/>
    <w:rsid w:val="00033E25"/>
    <w:rsid w:val="000358AF"/>
    <w:rsid w:val="00035A90"/>
    <w:rsid w:val="00035F30"/>
    <w:rsid w:val="00036526"/>
    <w:rsid w:val="00036A97"/>
    <w:rsid w:val="00036CA5"/>
    <w:rsid w:val="00037727"/>
    <w:rsid w:val="00040032"/>
    <w:rsid w:val="000414E5"/>
    <w:rsid w:val="00042EC3"/>
    <w:rsid w:val="00043C3A"/>
    <w:rsid w:val="00044764"/>
    <w:rsid w:val="00044893"/>
    <w:rsid w:val="00045B17"/>
    <w:rsid w:val="00045C3B"/>
    <w:rsid w:val="000473B2"/>
    <w:rsid w:val="00047C93"/>
    <w:rsid w:val="000506A5"/>
    <w:rsid w:val="00051417"/>
    <w:rsid w:val="0005160E"/>
    <w:rsid w:val="000517E4"/>
    <w:rsid w:val="00052566"/>
    <w:rsid w:val="000525FB"/>
    <w:rsid w:val="000528FB"/>
    <w:rsid w:val="00053586"/>
    <w:rsid w:val="00053D31"/>
    <w:rsid w:val="00054034"/>
    <w:rsid w:val="0005427C"/>
    <w:rsid w:val="00054974"/>
    <w:rsid w:val="0005677C"/>
    <w:rsid w:val="00057337"/>
    <w:rsid w:val="00057F56"/>
    <w:rsid w:val="00060333"/>
    <w:rsid w:val="0006057B"/>
    <w:rsid w:val="0006059E"/>
    <w:rsid w:val="000605D1"/>
    <w:rsid w:val="00061C13"/>
    <w:rsid w:val="00063488"/>
    <w:rsid w:val="00066855"/>
    <w:rsid w:val="00066E5E"/>
    <w:rsid w:val="00066EA7"/>
    <w:rsid w:val="0006754F"/>
    <w:rsid w:val="0007108A"/>
    <w:rsid w:val="000710D8"/>
    <w:rsid w:val="000719DB"/>
    <w:rsid w:val="00072289"/>
    <w:rsid w:val="000744CF"/>
    <w:rsid w:val="000748CC"/>
    <w:rsid w:val="00074C9C"/>
    <w:rsid w:val="00075487"/>
    <w:rsid w:val="00076F52"/>
    <w:rsid w:val="000779BA"/>
    <w:rsid w:val="00080690"/>
    <w:rsid w:val="0008100B"/>
    <w:rsid w:val="00081AD5"/>
    <w:rsid w:val="00082175"/>
    <w:rsid w:val="000827B3"/>
    <w:rsid w:val="00082863"/>
    <w:rsid w:val="000848C8"/>
    <w:rsid w:val="00084BA5"/>
    <w:rsid w:val="00084BEC"/>
    <w:rsid w:val="00085ABB"/>
    <w:rsid w:val="00085DB6"/>
    <w:rsid w:val="0008642B"/>
    <w:rsid w:val="00087A54"/>
    <w:rsid w:val="00087AB6"/>
    <w:rsid w:val="00087CC7"/>
    <w:rsid w:val="000910DE"/>
    <w:rsid w:val="000918D8"/>
    <w:rsid w:val="0009191D"/>
    <w:rsid w:val="00092469"/>
    <w:rsid w:val="00092D86"/>
    <w:rsid w:val="000939C0"/>
    <w:rsid w:val="00093AD7"/>
    <w:rsid w:val="00093E0E"/>
    <w:rsid w:val="00095F4E"/>
    <w:rsid w:val="0009618B"/>
    <w:rsid w:val="00096C05"/>
    <w:rsid w:val="00096D58"/>
    <w:rsid w:val="00096F97"/>
    <w:rsid w:val="00097BF1"/>
    <w:rsid w:val="000A003D"/>
    <w:rsid w:val="000A02AE"/>
    <w:rsid w:val="000A100F"/>
    <w:rsid w:val="000A186A"/>
    <w:rsid w:val="000A1906"/>
    <w:rsid w:val="000A191E"/>
    <w:rsid w:val="000A2758"/>
    <w:rsid w:val="000A3A09"/>
    <w:rsid w:val="000A3B23"/>
    <w:rsid w:val="000A46C9"/>
    <w:rsid w:val="000A4D1C"/>
    <w:rsid w:val="000A5007"/>
    <w:rsid w:val="000A5902"/>
    <w:rsid w:val="000A5DEF"/>
    <w:rsid w:val="000A6CE3"/>
    <w:rsid w:val="000A7A85"/>
    <w:rsid w:val="000A7EE2"/>
    <w:rsid w:val="000A7FB3"/>
    <w:rsid w:val="000B114E"/>
    <w:rsid w:val="000B3782"/>
    <w:rsid w:val="000B5863"/>
    <w:rsid w:val="000B5ACC"/>
    <w:rsid w:val="000B7420"/>
    <w:rsid w:val="000B7738"/>
    <w:rsid w:val="000C0989"/>
    <w:rsid w:val="000C13D8"/>
    <w:rsid w:val="000C1D7F"/>
    <w:rsid w:val="000C1F97"/>
    <w:rsid w:val="000C211C"/>
    <w:rsid w:val="000C3642"/>
    <w:rsid w:val="000C3AE8"/>
    <w:rsid w:val="000C4BAD"/>
    <w:rsid w:val="000C67C4"/>
    <w:rsid w:val="000C67F9"/>
    <w:rsid w:val="000C6ECB"/>
    <w:rsid w:val="000C710D"/>
    <w:rsid w:val="000C7130"/>
    <w:rsid w:val="000D0251"/>
    <w:rsid w:val="000D1395"/>
    <w:rsid w:val="000D1ABA"/>
    <w:rsid w:val="000D1D59"/>
    <w:rsid w:val="000D1F00"/>
    <w:rsid w:val="000D2F82"/>
    <w:rsid w:val="000D599F"/>
    <w:rsid w:val="000D5B03"/>
    <w:rsid w:val="000D6260"/>
    <w:rsid w:val="000D6351"/>
    <w:rsid w:val="000D66A6"/>
    <w:rsid w:val="000D6E82"/>
    <w:rsid w:val="000D70B8"/>
    <w:rsid w:val="000D74CB"/>
    <w:rsid w:val="000D7616"/>
    <w:rsid w:val="000E0A0D"/>
    <w:rsid w:val="000E1726"/>
    <w:rsid w:val="000E20B0"/>
    <w:rsid w:val="000E3AC8"/>
    <w:rsid w:val="000E3F2C"/>
    <w:rsid w:val="000E46DC"/>
    <w:rsid w:val="000E4B6E"/>
    <w:rsid w:val="000E4D78"/>
    <w:rsid w:val="000E56C3"/>
    <w:rsid w:val="000E7A09"/>
    <w:rsid w:val="000F06CE"/>
    <w:rsid w:val="000F0DEA"/>
    <w:rsid w:val="000F13A8"/>
    <w:rsid w:val="000F1BAD"/>
    <w:rsid w:val="000F25C8"/>
    <w:rsid w:val="000F27F9"/>
    <w:rsid w:val="000F2C54"/>
    <w:rsid w:val="000F3549"/>
    <w:rsid w:val="000F37AB"/>
    <w:rsid w:val="000F60F5"/>
    <w:rsid w:val="000F69F7"/>
    <w:rsid w:val="000F6CDC"/>
    <w:rsid w:val="00100AE8"/>
    <w:rsid w:val="00100AFE"/>
    <w:rsid w:val="0010172B"/>
    <w:rsid w:val="001020E6"/>
    <w:rsid w:val="00102DB8"/>
    <w:rsid w:val="0010306D"/>
    <w:rsid w:val="001042A6"/>
    <w:rsid w:val="001045E2"/>
    <w:rsid w:val="001055F8"/>
    <w:rsid w:val="00106BEC"/>
    <w:rsid w:val="00107713"/>
    <w:rsid w:val="001078C7"/>
    <w:rsid w:val="001079FC"/>
    <w:rsid w:val="00107FE8"/>
    <w:rsid w:val="00110006"/>
    <w:rsid w:val="00110620"/>
    <w:rsid w:val="00110A9E"/>
    <w:rsid w:val="00110B9B"/>
    <w:rsid w:val="00110EC8"/>
    <w:rsid w:val="00111372"/>
    <w:rsid w:val="00111643"/>
    <w:rsid w:val="001118CC"/>
    <w:rsid w:val="00112A44"/>
    <w:rsid w:val="00113EFD"/>
    <w:rsid w:val="00114467"/>
    <w:rsid w:val="00114810"/>
    <w:rsid w:val="0011519B"/>
    <w:rsid w:val="001156A3"/>
    <w:rsid w:val="00116386"/>
    <w:rsid w:val="00116650"/>
    <w:rsid w:val="001166B7"/>
    <w:rsid w:val="00117C00"/>
    <w:rsid w:val="00117C3A"/>
    <w:rsid w:val="00120108"/>
    <w:rsid w:val="0012047E"/>
    <w:rsid w:val="00120C3F"/>
    <w:rsid w:val="00120E76"/>
    <w:rsid w:val="001216D8"/>
    <w:rsid w:val="001221A9"/>
    <w:rsid w:val="00122315"/>
    <w:rsid w:val="0012326B"/>
    <w:rsid w:val="001234AF"/>
    <w:rsid w:val="00123A4A"/>
    <w:rsid w:val="001258FE"/>
    <w:rsid w:val="001259DA"/>
    <w:rsid w:val="00125F52"/>
    <w:rsid w:val="00126455"/>
    <w:rsid w:val="00126A1D"/>
    <w:rsid w:val="00127078"/>
    <w:rsid w:val="001271AA"/>
    <w:rsid w:val="00127779"/>
    <w:rsid w:val="00131A55"/>
    <w:rsid w:val="00133D5A"/>
    <w:rsid w:val="00134055"/>
    <w:rsid w:val="00134C05"/>
    <w:rsid w:val="00135E39"/>
    <w:rsid w:val="00140BAD"/>
    <w:rsid w:val="0014161A"/>
    <w:rsid w:val="00141AAE"/>
    <w:rsid w:val="00141D71"/>
    <w:rsid w:val="00141DB5"/>
    <w:rsid w:val="00142EF8"/>
    <w:rsid w:val="001431C4"/>
    <w:rsid w:val="00144BF9"/>
    <w:rsid w:val="0014580B"/>
    <w:rsid w:val="00145B2F"/>
    <w:rsid w:val="00145BE7"/>
    <w:rsid w:val="0014674A"/>
    <w:rsid w:val="00150521"/>
    <w:rsid w:val="00150960"/>
    <w:rsid w:val="00151184"/>
    <w:rsid w:val="00152A7C"/>
    <w:rsid w:val="0015495D"/>
    <w:rsid w:val="0015535B"/>
    <w:rsid w:val="0015573A"/>
    <w:rsid w:val="00155A83"/>
    <w:rsid w:val="00156EE4"/>
    <w:rsid w:val="00160A81"/>
    <w:rsid w:val="001610E0"/>
    <w:rsid w:val="00162382"/>
    <w:rsid w:val="00162F65"/>
    <w:rsid w:val="00163577"/>
    <w:rsid w:val="00163ACF"/>
    <w:rsid w:val="0016466B"/>
    <w:rsid w:val="00164D79"/>
    <w:rsid w:val="00165BCC"/>
    <w:rsid w:val="0016656A"/>
    <w:rsid w:val="001671ED"/>
    <w:rsid w:val="00167450"/>
    <w:rsid w:val="00170033"/>
    <w:rsid w:val="00170114"/>
    <w:rsid w:val="0017081F"/>
    <w:rsid w:val="00170855"/>
    <w:rsid w:val="00171CED"/>
    <w:rsid w:val="001722C4"/>
    <w:rsid w:val="00173344"/>
    <w:rsid w:val="00173CD9"/>
    <w:rsid w:val="00174609"/>
    <w:rsid w:val="00174AF1"/>
    <w:rsid w:val="001754B4"/>
    <w:rsid w:val="0017551B"/>
    <w:rsid w:val="0017565C"/>
    <w:rsid w:val="00176208"/>
    <w:rsid w:val="00176426"/>
    <w:rsid w:val="00177712"/>
    <w:rsid w:val="001811DC"/>
    <w:rsid w:val="00181B58"/>
    <w:rsid w:val="001856DD"/>
    <w:rsid w:val="001923DD"/>
    <w:rsid w:val="00192687"/>
    <w:rsid w:val="0019269E"/>
    <w:rsid w:val="001929D0"/>
    <w:rsid w:val="00192D8D"/>
    <w:rsid w:val="00192EF0"/>
    <w:rsid w:val="00193075"/>
    <w:rsid w:val="001930E1"/>
    <w:rsid w:val="0019324D"/>
    <w:rsid w:val="00193A51"/>
    <w:rsid w:val="0019476A"/>
    <w:rsid w:val="001952D0"/>
    <w:rsid w:val="00195EAD"/>
    <w:rsid w:val="00197B54"/>
    <w:rsid w:val="001A19AE"/>
    <w:rsid w:val="001A244A"/>
    <w:rsid w:val="001A2FFF"/>
    <w:rsid w:val="001A532C"/>
    <w:rsid w:val="001A53AD"/>
    <w:rsid w:val="001A5D8B"/>
    <w:rsid w:val="001A64A0"/>
    <w:rsid w:val="001A6F42"/>
    <w:rsid w:val="001A760F"/>
    <w:rsid w:val="001A77FE"/>
    <w:rsid w:val="001B02B2"/>
    <w:rsid w:val="001B0745"/>
    <w:rsid w:val="001B0C18"/>
    <w:rsid w:val="001B2D6E"/>
    <w:rsid w:val="001B32B6"/>
    <w:rsid w:val="001B4AF1"/>
    <w:rsid w:val="001B4F9E"/>
    <w:rsid w:val="001B504E"/>
    <w:rsid w:val="001B5FFE"/>
    <w:rsid w:val="001B6243"/>
    <w:rsid w:val="001B6308"/>
    <w:rsid w:val="001B6734"/>
    <w:rsid w:val="001B6921"/>
    <w:rsid w:val="001B6EC0"/>
    <w:rsid w:val="001B7E70"/>
    <w:rsid w:val="001C0A3E"/>
    <w:rsid w:val="001C136D"/>
    <w:rsid w:val="001C19BD"/>
    <w:rsid w:val="001C2393"/>
    <w:rsid w:val="001C3208"/>
    <w:rsid w:val="001C34D9"/>
    <w:rsid w:val="001C37AE"/>
    <w:rsid w:val="001C3DFD"/>
    <w:rsid w:val="001C3FD0"/>
    <w:rsid w:val="001C469F"/>
    <w:rsid w:val="001C568F"/>
    <w:rsid w:val="001C5DEC"/>
    <w:rsid w:val="001C5E83"/>
    <w:rsid w:val="001C642A"/>
    <w:rsid w:val="001C673F"/>
    <w:rsid w:val="001C6AB6"/>
    <w:rsid w:val="001C711B"/>
    <w:rsid w:val="001D0397"/>
    <w:rsid w:val="001D0F70"/>
    <w:rsid w:val="001D1071"/>
    <w:rsid w:val="001D1898"/>
    <w:rsid w:val="001D23BD"/>
    <w:rsid w:val="001D3EDF"/>
    <w:rsid w:val="001D41E8"/>
    <w:rsid w:val="001D5354"/>
    <w:rsid w:val="001D596B"/>
    <w:rsid w:val="001D612A"/>
    <w:rsid w:val="001D6FC4"/>
    <w:rsid w:val="001D7687"/>
    <w:rsid w:val="001E04FB"/>
    <w:rsid w:val="001E099D"/>
    <w:rsid w:val="001E09CE"/>
    <w:rsid w:val="001E0F70"/>
    <w:rsid w:val="001E1414"/>
    <w:rsid w:val="001E1D82"/>
    <w:rsid w:val="001E22A9"/>
    <w:rsid w:val="001E29B8"/>
    <w:rsid w:val="001E2A79"/>
    <w:rsid w:val="001E37B3"/>
    <w:rsid w:val="001E595E"/>
    <w:rsid w:val="001E6639"/>
    <w:rsid w:val="001E68FC"/>
    <w:rsid w:val="001F0229"/>
    <w:rsid w:val="001F0746"/>
    <w:rsid w:val="001F0D3E"/>
    <w:rsid w:val="001F10D1"/>
    <w:rsid w:val="001F1577"/>
    <w:rsid w:val="001F1675"/>
    <w:rsid w:val="001F1DD2"/>
    <w:rsid w:val="001F41BA"/>
    <w:rsid w:val="001F43DB"/>
    <w:rsid w:val="001F453D"/>
    <w:rsid w:val="001F51E6"/>
    <w:rsid w:val="001F5A12"/>
    <w:rsid w:val="001F5C77"/>
    <w:rsid w:val="00200314"/>
    <w:rsid w:val="00200586"/>
    <w:rsid w:val="00201118"/>
    <w:rsid w:val="00201563"/>
    <w:rsid w:val="00201A08"/>
    <w:rsid w:val="0020252E"/>
    <w:rsid w:val="00202C9B"/>
    <w:rsid w:val="00202FD6"/>
    <w:rsid w:val="00203FAF"/>
    <w:rsid w:val="00205970"/>
    <w:rsid w:val="002059F9"/>
    <w:rsid w:val="00205D50"/>
    <w:rsid w:val="0020706A"/>
    <w:rsid w:val="00207386"/>
    <w:rsid w:val="00207A18"/>
    <w:rsid w:val="00207C7E"/>
    <w:rsid w:val="00207C94"/>
    <w:rsid w:val="00210E57"/>
    <w:rsid w:val="00211E35"/>
    <w:rsid w:val="002120FF"/>
    <w:rsid w:val="002122AB"/>
    <w:rsid w:val="00212F5E"/>
    <w:rsid w:val="00213969"/>
    <w:rsid w:val="00213B10"/>
    <w:rsid w:val="002157A0"/>
    <w:rsid w:val="00215A8A"/>
    <w:rsid w:val="002166D6"/>
    <w:rsid w:val="00217691"/>
    <w:rsid w:val="00217AC6"/>
    <w:rsid w:val="00220386"/>
    <w:rsid w:val="00221A27"/>
    <w:rsid w:val="00221AA8"/>
    <w:rsid w:val="00222322"/>
    <w:rsid w:val="002240D8"/>
    <w:rsid w:val="00224C93"/>
    <w:rsid w:val="00227BAA"/>
    <w:rsid w:val="00227BF1"/>
    <w:rsid w:val="00227CF0"/>
    <w:rsid w:val="00230665"/>
    <w:rsid w:val="002308E0"/>
    <w:rsid w:val="002319E6"/>
    <w:rsid w:val="0023286E"/>
    <w:rsid w:val="00232B30"/>
    <w:rsid w:val="002338F1"/>
    <w:rsid w:val="00233D2F"/>
    <w:rsid w:val="00234E1A"/>
    <w:rsid w:val="00234EC8"/>
    <w:rsid w:val="00236708"/>
    <w:rsid w:val="00237791"/>
    <w:rsid w:val="0024009D"/>
    <w:rsid w:val="00240AA8"/>
    <w:rsid w:val="002414BE"/>
    <w:rsid w:val="0024175B"/>
    <w:rsid w:val="0024257A"/>
    <w:rsid w:val="002425AB"/>
    <w:rsid w:val="00242CD5"/>
    <w:rsid w:val="0024390D"/>
    <w:rsid w:val="00244497"/>
    <w:rsid w:val="002444D2"/>
    <w:rsid w:val="002446A8"/>
    <w:rsid w:val="002447D4"/>
    <w:rsid w:val="002453C9"/>
    <w:rsid w:val="00246321"/>
    <w:rsid w:val="00246FCF"/>
    <w:rsid w:val="00247DCD"/>
    <w:rsid w:val="00250CF6"/>
    <w:rsid w:val="00252284"/>
    <w:rsid w:val="00252424"/>
    <w:rsid w:val="002529AD"/>
    <w:rsid w:val="00253166"/>
    <w:rsid w:val="00253235"/>
    <w:rsid w:val="002537E0"/>
    <w:rsid w:val="00253AD6"/>
    <w:rsid w:val="00253B25"/>
    <w:rsid w:val="00253FE5"/>
    <w:rsid w:val="00254AD5"/>
    <w:rsid w:val="00254EEF"/>
    <w:rsid w:val="00256289"/>
    <w:rsid w:val="002574DA"/>
    <w:rsid w:val="0025784C"/>
    <w:rsid w:val="002606BB"/>
    <w:rsid w:val="00260FE2"/>
    <w:rsid w:val="0026283F"/>
    <w:rsid w:val="002629EA"/>
    <w:rsid w:val="0026349D"/>
    <w:rsid w:val="002636D7"/>
    <w:rsid w:val="0026416F"/>
    <w:rsid w:val="00264CFA"/>
    <w:rsid w:val="002656FE"/>
    <w:rsid w:val="0026637C"/>
    <w:rsid w:val="00266C3B"/>
    <w:rsid w:val="002679AF"/>
    <w:rsid w:val="00267B14"/>
    <w:rsid w:val="00270C63"/>
    <w:rsid w:val="002718AF"/>
    <w:rsid w:val="002725DE"/>
    <w:rsid w:val="0027261A"/>
    <w:rsid w:val="0027262C"/>
    <w:rsid w:val="00273FA4"/>
    <w:rsid w:val="00274152"/>
    <w:rsid w:val="002754BC"/>
    <w:rsid w:val="00276D0E"/>
    <w:rsid w:val="00277298"/>
    <w:rsid w:val="002779CF"/>
    <w:rsid w:val="0028092E"/>
    <w:rsid w:val="00280DD8"/>
    <w:rsid w:val="00281C8D"/>
    <w:rsid w:val="00282916"/>
    <w:rsid w:val="00282A55"/>
    <w:rsid w:val="00282B12"/>
    <w:rsid w:val="00282B94"/>
    <w:rsid w:val="00282E71"/>
    <w:rsid w:val="00282FB3"/>
    <w:rsid w:val="0028357D"/>
    <w:rsid w:val="00284EFA"/>
    <w:rsid w:val="00285B91"/>
    <w:rsid w:val="002864DA"/>
    <w:rsid w:val="002866DA"/>
    <w:rsid w:val="0028679E"/>
    <w:rsid w:val="00290BA2"/>
    <w:rsid w:val="00290CD8"/>
    <w:rsid w:val="00290F09"/>
    <w:rsid w:val="0029113D"/>
    <w:rsid w:val="00291B51"/>
    <w:rsid w:val="00291BAF"/>
    <w:rsid w:val="00291DB6"/>
    <w:rsid w:val="002933EB"/>
    <w:rsid w:val="00293DB1"/>
    <w:rsid w:val="00294306"/>
    <w:rsid w:val="002944CA"/>
    <w:rsid w:val="00294D8E"/>
    <w:rsid w:val="002961A3"/>
    <w:rsid w:val="00297D95"/>
    <w:rsid w:val="002A0A37"/>
    <w:rsid w:val="002A0D7D"/>
    <w:rsid w:val="002A10EF"/>
    <w:rsid w:val="002A130B"/>
    <w:rsid w:val="002A31BF"/>
    <w:rsid w:val="002A3355"/>
    <w:rsid w:val="002A379A"/>
    <w:rsid w:val="002A5E48"/>
    <w:rsid w:val="002A6F31"/>
    <w:rsid w:val="002A6FB8"/>
    <w:rsid w:val="002A73EE"/>
    <w:rsid w:val="002A7E2D"/>
    <w:rsid w:val="002B06F3"/>
    <w:rsid w:val="002B0ED2"/>
    <w:rsid w:val="002B1B57"/>
    <w:rsid w:val="002B2358"/>
    <w:rsid w:val="002B3173"/>
    <w:rsid w:val="002B38CF"/>
    <w:rsid w:val="002B3CB3"/>
    <w:rsid w:val="002B3FAC"/>
    <w:rsid w:val="002B4408"/>
    <w:rsid w:val="002B4CE4"/>
    <w:rsid w:val="002B5578"/>
    <w:rsid w:val="002B5668"/>
    <w:rsid w:val="002B5BD2"/>
    <w:rsid w:val="002B6258"/>
    <w:rsid w:val="002B7895"/>
    <w:rsid w:val="002C0F90"/>
    <w:rsid w:val="002C154B"/>
    <w:rsid w:val="002C1769"/>
    <w:rsid w:val="002C2344"/>
    <w:rsid w:val="002C2787"/>
    <w:rsid w:val="002C285B"/>
    <w:rsid w:val="002C2A3A"/>
    <w:rsid w:val="002C2E68"/>
    <w:rsid w:val="002C304B"/>
    <w:rsid w:val="002C43B1"/>
    <w:rsid w:val="002C5404"/>
    <w:rsid w:val="002C566C"/>
    <w:rsid w:val="002C67C3"/>
    <w:rsid w:val="002C79B2"/>
    <w:rsid w:val="002C7B18"/>
    <w:rsid w:val="002D0929"/>
    <w:rsid w:val="002D1344"/>
    <w:rsid w:val="002D13C6"/>
    <w:rsid w:val="002D1502"/>
    <w:rsid w:val="002D253D"/>
    <w:rsid w:val="002D2CED"/>
    <w:rsid w:val="002D41E7"/>
    <w:rsid w:val="002D4814"/>
    <w:rsid w:val="002D5168"/>
    <w:rsid w:val="002D7100"/>
    <w:rsid w:val="002E05C9"/>
    <w:rsid w:val="002E0FF3"/>
    <w:rsid w:val="002E11EE"/>
    <w:rsid w:val="002E1321"/>
    <w:rsid w:val="002E1AA4"/>
    <w:rsid w:val="002E27B3"/>
    <w:rsid w:val="002E2BA6"/>
    <w:rsid w:val="002E30F0"/>
    <w:rsid w:val="002E3C67"/>
    <w:rsid w:val="002E43CB"/>
    <w:rsid w:val="002E5522"/>
    <w:rsid w:val="002E589E"/>
    <w:rsid w:val="002E6D52"/>
    <w:rsid w:val="002E7459"/>
    <w:rsid w:val="002E78E2"/>
    <w:rsid w:val="002F019A"/>
    <w:rsid w:val="002F038C"/>
    <w:rsid w:val="002F060F"/>
    <w:rsid w:val="002F083A"/>
    <w:rsid w:val="002F11A9"/>
    <w:rsid w:val="002F13A8"/>
    <w:rsid w:val="002F1DD0"/>
    <w:rsid w:val="002F222F"/>
    <w:rsid w:val="002F2423"/>
    <w:rsid w:val="002F2527"/>
    <w:rsid w:val="002F26EE"/>
    <w:rsid w:val="002F35D2"/>
    <w:rsid w:val="002F38B5"/>
    <w:rsid w:val="002F3F7C"/>
    <w:rsid w:val="002F4C60"/>
    <w:rsid w:val="002F53B9"/>
    <w:rsid w:val="002F5ED0"/>
    <w:rsid w:val="002F60B2"/>
    <w:rsid w:val="002F6BC4"/>
    <w:rsid w:val="002F71C1"/>
    <w:rsid w:val="0030006C"/>
    <w:rsid w:val="00300346"/>
    <w:rsid w:val="003004B8"/>
    <w:rsid w:val="00300C9E"/>
    <w:rsid w:val="003018BC"/>
    <w:rsid w:val="00301AB0"/>
    <w:rsid w:val="00301D3A"/>
    <w:rsid w:val="003032AE"/>
    <w:rsid w:val="0030362A"/>
    <w:rsid w:val="00304F55"/>
    <w:rsid w:val="003052FE"/>
    <w:rsid w:val="003053D5"/>
    <w:rsid w:val="003058D4"/>
    <w:rsid w:val="00305B5F"/>
    <w:rsid w:val="0030605F"/>
    <w:rsid w:val="0030681E"/>
    <w:rsid w:val="00307606"/>
    <w:rsid w:val="00307773"/>
    <w:rsid w:val="003078FE"/>
    <w:rsid w:val="00307E53"/>
    <w:rsid w:val="00311742"/>
    <w:rsid w:val="00311A67"/>
    <w:rsid w:val="00311B64"/>
    <w:rsid w:val="0031293B"/>
    <w:rsid w:val="00312C20"/>
    <w:rsid w:val="003132BC"/>
    <w:rsid w:val="00314463"/>
    <w:rsid w:val="00315C1B"/>
    <w:rsid w:val="00316116"/>
    <w:rsid w:val="00316309"/>
    <w:rsid w:val="00316320"/>
    <w:rsid w:val="00320182"/>
    <w:rsid w:val="00320332"/>
    <w:rsid w:val="00320DD2"/>
    <w:rsid w:val="00320ECE"/>
    <w:rsid w:val="00321729"/>
    <w:rsid w:val="003217C9"/>
    <w:rsid w:val="00322662"/>
    <w:rsid w:val="00322A67"/>
    <w:rsid w:val="00322E8B"/>
    <w:rsid w:val="0032393C"/>
    <w:rsid w:val="00323FAD"/>
    <w:rsid w:val="00324379"/>
    <w:rsid w:val="003251B5"/>
    <w:rsid w:val="003258B8"/>
    <w:rsid w:val="003302B1"/>
    <w:rsid w:val="003309C0"/>
    <w:rsid w:val="003314C8"/>
    <w:rsid w:val="003318CD"/>
    <w:rsid w:val="00332678"/>
    <w:rsid w:val="00332A20"/>
    <w:rsid w:val="00332CF3"/>
    <w:rsid w:val="00332D08"/>
    <w:rsid w:val="003337FE"/>
    <w:rsid w:val="00333B43"/>
    <w:rsid w:val="00335325"/>
    <w:rsid w:val="00337215"/>
    <w:rsid w:val="003373D5"/>
    <w:rsid w:val="0033751F"/>
    <w:rsid w:val="00341003"/>
    <w:rsid w:val="00341519"/>
    <w:rsid w:val="003415BC"/>
    <w:rsid w:val="00341EE7"/>
    <w:rsid w:val="00342A57"/>
    <w:rsid w:val="00342AF2"/>
    <w:rsid w:val="00342D7C"/>
    <w:rsid w:val="003436F2"/>
    <w:rsid w:val="00343B45"/>
    <w:rsid w:val="00343DD7"/>
    <w:rsid w:val="0034490F"/>
    <w:rsid w:val="003465AA"/>
    <w:rsid w:val="00350140"/>
    <w:rsid w:val="00351F32"/>
    <w:rsid w:val="00351F60"/>
    <w:rsid w:val="00352457"/>
    <w:rsid w:val="00352B21"/>
    <w:rsid w:val="003555A9"/>
    <w:rsid w:val="003556BD"/>
    <w:rsid w:val="00356134"/>
    <w:rsid w:val="00356D5D"/>
    <w:rsid w:val="00356E4F"/>
    <w:rsid w:val="00357E00"/>
    <w:rsid w:val="00357F5C"/>
    <w:rsid w:val="003600DE"/>
    <w:rsid w:val="00360589"/>
    <w:rsid w:val="00360E60"/>
    <w:rsid w:val="00360ECF"/>
    <w:rsid w:val="00360F5C"/>
    <w:rsid w:val="003613A8"/>
    <w:rsid w:val="00361517"/>
    <w:rsid w:val="00364363"/>
    <w:rsid w:val="0036514B"/>
    <w:rsid w:val="00365B02"/>
    <w:rsid w:val="00365FEF"/>
    <w:rsid w:val="0036734A"/>
    <w:rsid w:val="00367A0B"/>
    <w:rsid w:val="00367DBD"/>
    <w:rsid w:val="003703F7"/>
    <w:rsid w:val="0037156D"/>
    <w:rsid w:val="003722B3"/>
    <w:rsid w:val="0037246E"/>
    <w:rsid w:val="00372959"/>
    <w:rsid w:val="0037296D"/>
    <w:rsid w:val="00372A07"/>
    <w:rsid w:val="00372B98"/>
    <w:rsid w:val="0037489A"/>
    <w:rsid w:val="00374C9E"/>
    <w:rsid w:val="00374EDB"/>
    <w:rsid w:val="00375013"/>
    <w:rsid w:val="00375508"/>
    <w:rsid w:val="00375688"/>
    <w:rsid w:val="003757C4"/>
    <w:rsid w:val="00375DA6"/>
    <w:rsid w:val="0037601D"/>
    <w:rsid w:val="00376823"/>
    <w:rsid w:val="00377141"/>
    <w:rsid w:val="00377A28"/>
    <w:rsid w:val="00381642"/>
    <w:rsid w:val="003817F3"/>
    <w:rsid w:val="003818A9"/>
    <w:rsid w:val="00383480"/>
    <w:rsid w:val="00383AF6"/>
    <w:rsid w:val="00383CDC"/>
    <w:rsid w:val="00383F29"/>
    <w:rsid w:val="00385266"/>
    <w:rsid w:val="0038581E"/>
    <w:rsid w:val="003862BE"/>
    <w:rsid w:val="0038641F"/>
    <w:rsid w:val="00386715"/>
    <w:rsid w:val="00386C0A"/>
    <w:rsid w:val="00390912"/>
    <w:rsid w:val="00390E6F"/>
    <w:rsid w:val="00391518"/>
    <w:rsid w:val="003921D8"/>
    <w:rsid w:val="003927F5"/>
    <w:rsid w:val="00392AE2"/>
    <w:rsid w:val="00392E30"/>
    <w:rsid w:val="00393558"/>
    <w:rsid w:val="003939E7"/>
    <w:rsid w:val="0039405A"/>
    <w:rsid w:val="00394201"/>
    <w:rsid w:val="00395E86"/>
    <w:rsid w:val="003961BA"/>
    <w:rsid w:val="00396454"/>
    <w:rsid w:val="003964F5"/>
    <w:rsid w:val="00396F43"/>
    <w:rsid w:val="00397544"/>
    <w:rsid w:val="003976BE"/>
    <w:rsid w:val="00397D34"/>
    <w:rsid w:val="003A083E"/>
    <w:rsid w:val="003A0BED"/>
    <w:rsid w:val="003A0C4E"/>
    <w:rsid w:val="003A1562"/>
    <w:rsid w:val="003A1EBC"/>
    <w:rsid w:val="003A215E"/>
    <w:rsid w:val="003A3B8B"/>
    <w:rsid w:val="003A4232"/>
    <w:rsid w:val="003A439A"/>
    <w:rsid w:val="003A4976"/>
    <w:rsid w:val="003A539E"/>
    <w:rsid w:val="003A5E2B"/>
    <w:rsid w:val="003A6AC0"/>
    <w:rsid w:val="003A720E"/>
    <w:rsid w:val="003A7762"/>
    <w:rsid w:val="003B0314"/>
    <w:rsid w:val="003B2BF8"/>
    <w:rsid w:val="003B2C15"/>
    <w:rsid w:val="003B3311"/>
    <w:rsid w:val="003B38A7"/>
    <w:rsid w:val="003B3B1F"/>
    <w:rsid w:val="003B4A83"/>
    <w:rsid w:val="003B6D36"/>
    <w:rsid w:val="003B75A0"/>
    <w:rsid w:val="003B79B6"/>
    <w:rsid w:val="003B7BB0"/>
    <w:rsid w:val="003C0D32"/>
    <w:rsid w:val="003C2458"/>
    <w:rsid w:val="003C2858"/>
    <w:rsid w:val="003C28C5"/>
    <w:rsid w:val="003C58E7"/>
    <w:rsid w:val="003C6898"/>
    <w:rsid w:val="003C6A8D"/>
    <w:rsid w:val="003C6B99"/>
    <w:rsid w:val="003C6EA6"/>
    <w:rsid w:val="003D07A7"/>
    <w:rsid w:val="003D0D1A"/>
    <w:rsid w:val="003D15B4"/>
    <w:rsid w:val="003D2FCD"/>
    <w:rsid w:val="003D439F"/>
    <w:rsid w:val="003D48D6"/>
    <w:rsid w:val="003D4B1E"/>
    <w:rsid w:val="003D4E0E"/>
    <w:rsid w:val="003D5704"/>
    <w:rsid w:val="003D5B12"/>
    <w:rsid w:val="003D5D12"/>
    <w:rsid w:val="003D6365"/>
    <w:rsid w:val="003E0895"/>
    <w:rsid w:val="003E0F6C"/>
    <w:rsid w:val="003E1185"/>
    <w:rsid w:val="003E18BE"/>
    <w:rsid w:val="003E2437"/>
    <w:rsid w:val="003E32F1"/>
    <w:rsid w:val="003E3678"/>
    <w:rsid w:val="003E3953"/>
    <w:rsid w:val="003E59EB"/>
    <w:rsid w:val="003E626F"/>
    <w:rsid w:val="003E7435"/>
    <w:rsid w:val="003E7E0E"/>
    <w:rsid w:val="003F04E8"/>
    <w:rsid w:val="003F25D5"/>
    <w:rsid w:val="003F2880"/>
    <w:rsid w:val="003F2B0F"/>
    <w:rsid w:val="003F344D"/>
    <w:rsid w:val="003F3E56"/>
    <w:rsid w:val="003F4026"/>
    <w:rsid w:val="003F4F22"/>
    <w:rsid w:val="003F74A5"/>
    <w:rsid w:val="004001B4"/>
    <w:rsid w:val="0040090D"/>
    <w:rsid w:val="00400A9E"/>
    <w:rsid w:val="00400AB8"/>
    <w:rsid w:val="004021F6"/>
    <w:rsid w:val="004029B1"/>
    <w:rsid w:val="00402D64"/>
    <w:rsid w:val="00404CD3"/>
    <w:rsid w:val="00404E22"/>
    <w:rsid w:val="004057B4"/>
    <w:rsid w:val="00405A6A"/>
    <w:rsid w:val="004064E5"/>
    <w:rsid w:val="0040652C"/>
    <w:rsid w:val="00407ED8"/>
    <w:rsid w:val="004102E4"/>
    <w:rsid w:val="00410D91"/>
    <w:rsid w:val="0041114A"/>
    <w:rsid w:val="004111EC"/>
    <w:rsid w:val="00411887"/>
    <w:rsid w:val="004124CB"/>
    <w:rsid w:val="004124D3"/>
    <w:rsid w:val="0041312B"/>
    <w:rsid w:val="004136F1"/>
    <w:rsid w:val="004141E8"/>
    <w:rsid w:val="00414345"/>
    <w:rsid w:val="004143F9"/>
    <w:rsid w:val="00415978"/>
    <w:rsid w:val="00415C6E"/>
    <w:rsid w:val="004160E8"/>
    <w:rsid w:val="00416C8A"/>
    <w:rsid w:val="00416E19"/>
    <w:rsid w:val="00416EDB"/>
    <w:rsid w:val="00416F34"/>
    <w:rsid w:val="00416F51"/>
    <w:rsid w:val="00416F54"/>
    <w:rsid w:val="004178AA"/>
    <w:rsid w:val="00417DAE"/>
    <w:rsid w:val="00417E2A"/>
    <w:rsid w:val="0042068A"/>
    <w:rsid w:val="0042105E"/>
    <w:rsid w:val="0042121B"/>
    <w:rsid w:val="00421425"/>
    <w:rsid w:val="00421600"/>
    <w:rsid w:val="00421979"/>
    <w:rsid w:val="00421A32"/>
    <w:rsid w:val="00421F55"/>
    <w:rsid w:val="00422741"/>
    <w:rsid w:val="004229CE"/>
    <w:rsid w:val="00422FB5"/>
    <w:rsid w:val="00423109"/>
    <w:rsid w:val="00423406"/>
    <w:rsid w:val="0042377D"/>
    <w:rsid w:val="004248C6"/>
    <w:rsid w:val="00426496"/>
    <w:rsid w:val="00426591"/>
    <w:rsid w:val="0042673C"/>
    <w:rsid w:val="00426757"/>
    <w:rsid w:val="00426B4E"/>
    <w:rsid w:val="00426BFA"/>
    <w:rsid w:val="00432162"/>
    <w:rsid w:val="00432455"/>
    <w:rsid w:val="00433269"/>
    <w:rsid w:val="00433465"/>
    <w:rsid w:val="00433D32"/>
    <w:rsid w:val="00433E00"/>
    <w:rsid w:val="00433E97"/>
    <w:rsid w:val="00433F00"/>
    <w:rsid w:val="00434AA1"/>
    <w:rsid w:val="00435492"/>
    <w:rsid w:val="00436216"/>
    <w:rsid w:val="004366C2"/>
    <w:rsid w:val="00436731"/>
    <w:rsid w:val="00436AB7"/>
    <w:rsid w:val="00436AE9"/>
    <w:rsid w:val="00436E1A"/>
    <w:rsid w:val="004409ED"/>
    <w:rsid w:val="00440A87"/>
    <w:rsid w:val="00441772"/>
    <w:rsid w:val="004423DC"/>
    <w:rsid w:val="00442A5E"/>
    <w:rsid w:val="00442C12"/>
    <w:rsid w:val="0044391D"/>
    <w:rsid w:val="00444054"/>
    <w:rsid w:val="00444B08"/>
    <w:rsid w:val="00444D53"/>
    <w:rsid w:val="00445361"/>
    <w:rsid w:val="00445C5A"/>
    <w:rsid w:val="004466CD"/>
    <w:rsid w:val="00447B5F"/>
    <w:rsid w:val="0045094D"/>
    <w:rsid w:val="004509D4"/>
    <w:rsid w:val="00450D9C"/>
    <w:rsid w:val="00450DA6"/>
    <w:rsid w:val="00451320"/>
    <w:rsid w:val="00451BDC"/>
    <w:rsid w:val="00451D9C"/>
    <w:rsid w:val="00451F3E"/>
    <w:rsid w:val="004525DA"/>
    <w:rsid w:val="00452764"/>
    <w:rsid w:val="00453D9A"/>
    <w:rsid w:val="00453DA2"/>
    <w:rsid w:val="00454084"/>
    <w:rsid w:val="00454180"/>
    <w:rsid w:val="00454D1F"/>
    <w:rsid w:val="00454F91"/>
    <w:rsid w:val="00455DF7"/>
    <w:rsid w:val="004576E2"/>
    <w:rsid w:val="004606DA"/>
    <w:rsid w:val="00461703"/>
    <w:rsid w:val="00461EB2"/>
    <w:rsid w:val="004625FE"/>
    <w:rsid w:val="00462BCC"/>
    <w:rsid w:val="00462C44"/>
    <w:rsid w:val="004633D0"/>
    <w:rsid w:val="004650CD"/>
    <w:rsid w:val="004653F0"/>
    <w:rsid w:val="0046568B"/>
    <w:rsid w:val="00466C92"/>
    <w:rsid w:val="00467A3F"/>
    <w:rsid w:val="00467C1B"/>
    <w:rsid w:val="00467CD2"/>
    <w:rsid w:val="00470BAE"/>
    <w:rsid w:val="00470D92"/>
    <w:rsid w:val="00473590"/>
    <w:rsid w:val="004750E8"/>
    <w:rsid w:val="004753B9"/>
    <w:rsid w:val="0047577B"/>
    <w:rsid w:val="004762AF"/>
    <w:rsid w:val="004768A9"/>
    <w:rsid w:val="00477918"/>
    <w:rsid w:val="0048408D"/>
    <w:rsid w:val="00484A3B"/>
    <w:rsid w:val="00485D01"/>
    <w:rsid w:val="0048614B"/>
    <w:rsid w:val="004865D6"/>
    <w:rsid w:val="00486D0E"/>
    <w:rsid w:val="004878B1"/>
    <w:rsid w:val="00487AAC"/>
    <w:rsid w:val="00490A76"/>
    <w:rsid w:val="00493627"/>
    <w:rsid w:val="00493B2D"/>
    <w:rsid w:val="00494081"/>
    <w:rsid w:val="00494273"/>
    <w:rsid w:val="00494E57"/>
    <w:rsid w:val="00494FDE"/>
    <w:rsid w:val="004974B1"/>
    <w:rsid w:val="00497982"/>
    <w:rsid w:val="004A26B1"/>
    <w:rsid w:val="004A2C72"/>
    <w:rsid w:val="004A33DF"/>
    <w:rsid w:val="004A3EED"/>
    <w:rsid w:val="004A41C8"/>
    <w:rsid w:val="004A484B"/>
    <w:rsid w:val="004A4EB2"/>
    <w:rsid w:val="004A59E2"/>
    <w:rsid w:val="004A6837"/>
    <w:rsid w:val="004A6F94"/>
    <w:rsid w:val="004A735D"/>
    <w:rsid w:val="004B2130"/>
    <w:rsid w:val="004B2A8C"/>
    <w:rsid w:val="004B2BD5"/>
    <w:rsid w:val="004B47F9"/>
    <w:rsid w:val="004B693E"/>
    <w:rsid w:val="004B6B00"/>
    <w:rsid w:val="004B71AF"/>
    <w:rsid w:val="004B7C6C"/>
    <w:rsid w:val="004B7EA8"/>
    <w:rsid w:val="004C0C1D"/>
    <w:rsid w:val="004C0CA1"/>
    <w:rsid w:val="004C1142"/>
    <w:rsid w:val="004C1196"/>
    <w:rsid w:val="004C1305"/>
    <w:rsid w:val="004C1F91"/>
    <w:rsid w:val="004C2F35"/>
    <w:rsid w:val="004C3937"/>
    <w:rsid w:val="004C3CBA"/>
    <w:rsid w:val="004C493C"/>
    <w:rsid w:val="004C4FF8"/>
    <w:rsid w:val="004C51DD"/>
    <w:rsid w:val="004C58E5"/>
    <w:rsid w:val="004C5BA1"/>
    <w:rsid w:val="004C6226"/>
    <w:rsid w:val="004C6475"/>
    <w:rsid w:val="004C70BB"/>
    <w:rsid w:val="004C7937"/>
    <w:rsid w:val="004C7F2E"/>
    <w:rsid w:val="004D0127"/>
    <w:rsid w:val="004D052A"/>
    <w:rsid w:val="004D0758"/>
    <w:rsid w:val="004D36A0"/>
    <w:rsid w:val="004D3C49"/>
    <w:rsid w:val="004D4AC8"/>
    <w:rsid w:val="004D568A"/>
    <w:rsid w:val="004D63B0"/>
    <w:rsid w:val="004D6E79"/>
    <w:rsid w:val="004D6FD9"/>
    <w:rsid w:val="004D719A"/>
    <w:rsid w:val="004E02E0"/>
    <w:rsid w:val="004E0ADD"/>
    <w:rsid w:val="004E246C"/>
    <w:rsid w:val="004E2821"/>
    <w:rsid w:val="004E28C2"/>
    <w:rsid w:val="004E330B"/>
    <w:rsid w:val="004E36A5"/>
    <w:rsid w:val="004E4091"/>
    <w:rsid w:val="004E458B"/>
    <w:rsid w:val="004E470A"/>
    <w:rsid w:val="004E4AE0"/>
    <w:rsid w:val="004E4C64"/>
    <w:rsid w:val="004E58FA"/>
    <w:rsid w:val="004E61F6"/>
    <w:rsid w:val="004E62FF"/>
    <w:rsid w:val="004E6E7F"/>
    <w:rsid w:val="004F1FE9"/>
    <w:rsid w:val="004F3773"/>
    <w:rsid w:val="004F38A5"/>
    <w:rsid w:val="004F3A32"/>
    <w:rsid w:val="004F4178"/>
    <w:rsid w:val="004F5653"/>
    <w:rsid w:val="004F61C0"/>
    <w:rsid w:val="004F6670"/>
    <w:rsid w:val="005009D6"/>
    <w:rsid w:val="00500DB3"/>
    <w:rsid w:val="00501D63"/>
    <w:rsid w:val="005049E3"/>
    <w:rsid w:val="00506189"/>
    <w:rsid w:val="00506926"/>
    <w:rsid w:val="00506B03"/>
    <w:rsid w:val="005073F8"/>
    <w:rsid w:val="00507930"/>
    <w:rsid w:val="005106E0"/>
    <w:rsid w:val="00510958"/>
    <w:rsid w:val="00510FC1"/>
    <w:rsid w:val="00511619"/>
    <w:rsid w:val="00511C59"/>
    <w:rsid w:val="00511F4A"/>
    <w:rsid w:val="00512054"/>
    <w:rsid w:val="00512060"/>
    <w:rsid w:val="00512A41"/>
    <w:rsid w:val="00512D6E"/>
    <w:rsid w:val="005149D6"/>
    <w:rsid w:val="00514E26"/>
    <w:rsid w:val="005157C0"/>
    <w:rsid w:val="00516FE3"/>
    <w:rsid w:val="0051760F"/>
    <w:rsid w:val="005200F1"/>
    <w:rsid w:val="0052053D"/>
    <w:rsid w:val="005207C8"/>
    <w:rsid w:val="00521141"/>
    <w:rsid w:val="00522E2E"/>
    <w:rsid w:val="005231BF"/>
    <w:rsid w:val="005232C3"/>
    <w:rsid w:val="00523C06"/>
    <w:rsid w:val="00523CFE"/>
    <w:rsid w:val="00530324"/>
    <w:rsid w:val="00530841"/>
    <w:rsid w:val="00530965"/>
    <w:rsid w:val="00531107"/>
    <w:rsid w:val="005341D7"/>
    <w:rsid w:val="00534A43"/>
    <w:rsid w:val="005368E6"/>
    <w:rsid w:val="00536A99"/>
    <w:rsid w:val="00536B9D"/>
    <w:rsid w:val="00536C30"/>
    <w:rsid w:val="005371C4"/>
    <w:rsid w:val="005376DA"/>
    <w:rsid w:val="00540539"/>
    <w:rsid w:val="00541286"/>
    <w:rsid w:val="0054324D"/>
    <w:rsid w:val="005435D8"/>
    <w:rsid w:val="00543D36"/>
    <w:rsid w:val="005448C4"/>
    <w:rsid w:val="00544921"/>
    <w:rsid w:val="00546190"/>
    <w:rsid w:val="0054656F"/>
    <w:rsid w:val="00546C71"/>
    <w:rsid w:val="00546F53"/>
    <w:rsid w:val="00547029"/>
    <w:rsid w:val="0054762F"/>
    <w:rsid w:val="00547CA7"/>
    <w:rsid w:val="00547E8B"/>
    <w:rsid w:val="005505F6"/>
    <w:rsid w:val="00550F2E"/>
    <w:rsid w:val="00553BF3"/>
    <w:rsid w:val="005547C9"/>
    <w:rsid w:val="00556365"/>
    <w:rsid w:val="00556FFB"/>
    <w:rsid w:val="00560CD6"/>
    <w:rsid w:val="0056389C"/>
    <w:rsid w:val="00563A0E"/>
    <w:rsid w:val="00564970"/>
    <w:rsid w:val="00565282"/>
    <w:rsid w:val="00565913"/>
    <w:rsid w:val="005659C9"/>
    <w:rsid w:val="00567CF7"/>
    <w:rsid w:val="005702BA"/>
    <w:rsid w:val="0057030F"/>
    <w:rsid w:val="00570471"/>
    <w:rsid w:val="00570763"/>
    <w:rsid w:val="0057095F"/>
    <w:rsid w:val="005713DC"/>
    <w:rsid w:val="00572426"/>
    <w:rsid w:val="00572932"/>
    <w:rsid w:val="00572A69"/>
    <w:rsid w:val="00573C53"/>
    <w:rsid w:val="0057549F"/>
    <w:rsid w:val="00576BD6"/>
    <w:rsid w:val="00576EC5"/>
    <w:rsid w:val="00577035"/>
    <w:rsid w:val="00577052"/>
    <w:rsid w:val="00577BF7"/>
    <w:rsid w:val="0058141E"/>
    <w:rsid w:val="00581799"/>
    <w:rsid w:val="00581B71"/>
    <w:rsid w:val="00581FA5"/>
    <w:rsid w:val="005835AD"/>
    <w:rsid w:val="0058370B"/>
    <w:rsid w:val="005838A0"/>
    <w:rsid w:val="00583D57"/>
    <w:rsid w:val="005841C3"/>
    <w:rsid w:val="0058435F"/>
    <w:rsid w:val="0058519E"/>
    <w:rsid w:val="005853FF"/>
    <w:rsid w:val="00585C3F"/>
    <w:rsid w:val="00585EE6"/>
    <w:rsid w:val="00587637"/>
    <w:rsid w:val="00590090"/>
    <w:rsid w:val="00590346"/>
    <w:rsid w:val="0059064B"/>
    <w:rsid w:val="0059069B"/>
    <w:rsid w:val="0059166C"/>
    <w:rsid w:val="005920CB"/>
    <w:rsid w:val="00594B81"/>
    <w:rsid w:val="00596030"/>
    <w:rsid w:val="00596F2F"/>
    <w:rsid w:val="005A0593"/>
    <w:rsid w:val="005A0C5A"/>
    <w:rsid w:val="005A128B"/>
    <w:rsid w:val="005A232F"/>
    <w:rsid w:val="005A372B"/>
    <w:rsid w:val="005A5D81"/>
    <w:rsid w:val="005A5E2C"/>
    <w:rsid w:val="005A749C"/>
    <w:rsid w:val="005B29FD"/>
    <w:rsid w:val="005B3B25"/>
    <w:rsid w:val="005B434B"/>
    <w:rsid w:val="005B43A6"/>
    <w:rsid w:val="005B512D"/>
    <w:rsid w:val="005B58E2"/>
    <w:rsid w:val="005B6F19"/>
    <w:rsid w:val="005B7BB5"/>
    <w:rsid w:val="005B7E0C"/>
    <w:rsid w:val="005C0908"/>
    <w:rsid w:val="005C1952"/>
    <w:rsid w:val="005C3FFC"/>
    <w:rsid w:val="005C4D9F"/>
    <w:rsid w:val="005C4F7F"/>
    <w:rsid w:val="005C54A7"/>
    <w:rsid w:val="005C5D29"/>
    <w:rsid w:val="005C5E76"/>
    <w:rsid w:val="005C6DEF"/>
    <w:rsid w:val="005D1B28"/>
    <w:rsid w:val="005D2366"/>
    <w:rsid w:val="005D27DA"/>
    <w:rsid w:val="005D3FC7"/>
    <w:rsid w:val="005D49E4"/>
    <w:rsid w:val="005D5514"/>
    <w:rsid w:val="005D5C10"/>
    <w:rsid w:val="005D677F"/>
    <w:rsid w:val="005D7A4B"/>
    <w:rsid w:val="005E099B"/>
    <w:rsid w:val="005E0D05"/>
    <w:rsid w:val="005E1216"/>
    <w:rsid w:val="005E1333"/>
    <w:rsid w:val="005E1ECB"/>
    <w:rsid w:val="005E21A5"/>
    <w:rsid w:val="005E23A8"/>
    <w:rsid w:val="005E302A"/>
    <w:rsid w:val="005E3186"/>
    <w:rsid w:val="005E3968"/>
    <w:rsid w:val="005E3CE0"/>
    <w:rsid w:val="005E48CE"/>
    <w:rsid w:val="005E655B"/>
    <w:rsid w:val="005E7AC1"/>
    <w:rsid w:val="005E7B72"/>
    <w:rsid w:val="005F02E6"/>
    <w:rsid w:val="005F0C52"/>
    <w:rsid w:val="005F0DC3"/>
    <w:rsid w:val="005F2249"/>
    <w:rsid w:val="005F2CCD"/>
    <w:rsid w:val="005F353D"/>
    <w:rsid w:val="005F37C9"/>
    <w:rsid w:val="005F3872"/>
    <w:rsid w:val="005F4649"/>
    <w:rsid w:val="005F5664"/>
    <w:rsid w:val="005F5806"/>
    <w:rsid w:val="005F749A"/>
    <w:rsid w:val="00600189"/>
    <w:rsid w:val="0060166F"/>
    <w:rsid w:val="0060261C"/>
    <w:rsid w:val="00603A4E"/>
    <w:rsid w:val="00604577"/>
    <w:rsid w:val="006049C9"/>
    <w:rsid w:val="006050C8"/>
    <w:rsid w:val="006052B7"/>
    <w:rsid w:val="006063C2"/>
    <w:rsid w:val="00607D1B"/>
    <w:rsid w:val="00610C24"/>
    <w:rsid w:val="0061172A"/>
    <w:rsid w:val="00611CB3"/>
    <w:rsid w:val="00612E03"/>
    <w:rsid w:val="006137EE"/>
    <w:rsid w:val="0061389C"/>
    <w:rsid w:val="00614333"/>
    <w:rsid w:val="00614C9D"/>
    <w:rsid w:val="006150BC"/>
    <w:rsid w:val="00616D83"/>
    <w:rsid w:val="006208ED"/>
    <w:rsid w:val="006218B6"/>
    <w:rsid w:val="00621FEC"/>
    <w:rsid w:val="006225C0"/>
    <w:rsid w:val="006228FF"/>
    <w:rsid w:val="00622A24"/>
    <w:rsid w:val="006233AD"/>
    <w:rsid w:val="00624B50"/>
    <w:rsid w:val="006257C9"/>
    <w:rsid w:val="006270FD"/>
    <w:rsid w:val="0062725B"/>
    <w:rsid w:val="0063062B"/>
    <w:rsid w:val="00630713"/>
    <w:rsid w:val="00630DF5"/>
    <w:rsid w:val="006313B5"/>
    <w:rsid w:val="006319B8"/>
    <w:rsid w:val="00632564"/>
    <w:rsid w:val="006342DD"/>
    <w:rsid w:val="00634446"/>
    <w:rsid w:val="0063461A"/>
    <w:rsid w:val="006346E3"/>
    <w:rsid w:val="00634967"/>
    <w:rsid w:val="006355A1"/>
    <w:rsid w:val="006356E3"/>
    <w:rsid w:val="00635B55"/>
    <w:rsid w:val="00635DEE"/>
    <w:rsid w:val="006361FD"/>
    <w:rsid w:val="00636DF3"/>
    <w:rsid w:val="00637795"/>
    <w:rsid w:val="00640630"/>
    <w:rsid w:val="0064068E"/>
    <w:rsid w:val="00640C06"/>
    <w:rsid w:val="00643B15"/>
    <w:rsid w:val="00644F6B"/>
    <w:rsid w:val="006461E1"/>
    <w:rsid w:val="00646AB9"/>
    <w:rsid w:val="00647072"/>
    <w:rsid w:val="00650168"/>
    <w:rsid w:val="006507DF"/>
    <w:rsid w:val="00651DF3"/>
    <w:rsid w:val="006533C4"/>
    <w:rsid w:val="006551C7"/>
    <w:rsid w:val="00656A9D"/>
    <w:rsid w:val="0066061C"/>
    <w:rsid w:val="006609F2"/>
    <w:rsid w:val="0066271F"/>
    <w:rsid w:val="00663AB6"/>
    <w:rsid w:val="00663C4E"/>
    <w:rsid w:val="00663E09"/>
    <w:rsid w:val="00664189"/>
    <w:rsid w:val="006654C6"/>
    <w:rsid w:val="00666573"/>
    <w:rsid w:val="00666751"/>
    <w:rsid w:val="00667207"/>
    <w:rsid w:val="00667BFC"/>
    <w:rsid w:val="00670045"/>
    <w:rsid w:val="00670A8F"/>
    <w:rsid w:val="00670F1A"/>
    <w:rsid w:val="00671480"/>
    <w:rsid w:val="00671A0E"/>
    <w:rsid w:val="006727A5"/>
    <w:rsid w:val="00673694"/>
    <w:rsid w:val="0067421F"/>
    <w:rsid w:val="0067443D"/>
    <w:rsid w:val="0067484A"/>
    <w:rsid w:val="0067498C"/>
    <w:rsid w:val="0067566D"/>
    <w:rsid w:val="006757D4"/>
    <w:rsid w:val="00675D98"/>
    <w:rsid w:val="006771F6"/>
    <w:rsid w:val="00677B05"/>
    <w:rsid w:val="00677B7E"/>
    <w:rsid w:val="00677EC2"/>
    <w:rsid w:val="006801AC"/>
    <w:rsid w:val="00680B87"/>
    <w:rsid w:val="006817B4"/>
    <w:rsid w:val="00682792"/>
    <w:rsid w:val="00683931"/>
    <w:rsid w:val="00683F1E"/>
    <w:rsid w:val="006855A8"/>
    <w:rsid w:val="00685FB2"/>
    <w:rsid w:val="0068603C"/>
    <w:rsid w:val="006867FC"/>
    <w:rsid w:val="00687158"/>
    <w:rsid w:val="00687BB7"/>
    <w:rsid w:val="0069030E"/>
    <w:rsid w:val="00690A0B"/>
    <w:rsid w:val="00690D73"/>
    <w:rsid w:val="006915F5"/>
    <w:rsid w:val="006919E6"/>
    <w:rsid w:val="0069207A"/>
    <w:rsid w:val="0069218C"/>
    <w:rsid w:val="00692B7A"/>
    <w:rsid w:val="00692D4F"/>
    <w:rsid w:val="00692E03"/>
    <w:rsid w:val="00692F00"/>
    <w:rsid w:val="0069356E"/>
    <w:rsid w:val="00694117"/>
    <w:rsid w:val="0069451A"/>
    <w:rsid w:val="00694D22"/>
    <w:rsid w:val="006956FB"/>
    <w:rsid w:val="0069748F"/>
    <w:rsid w:val="0069768D"/>
    <w:rsid w:val="00697B11"/>
    <w:rsid w:val="006A0416"/>
    <w:rsid w:val="006A0687"/>
    <w:rsid w:val="006A3533"/>
    <w:rsid w:val="006A42B6"/>
    <w:rsid w:val="006A556C"/>
    <w:rsid w:val="006A62A7"/>
    <w:rsid w:val="006A68D2"/>
    <w:rsid w:val="006A7448"/>
    <w:rsid w:val="006B000B"/>
    <w:rsid w:val="006B0CFD"/>
    <w:rsid w:val="006B1048"/>
    <w:rsid w:val="006B149B"/>
    <w:rsid w:val="006B1674"/>
    <w:rsid w:val="006B1C32"/>
    <w:rsid w:val="006B25A6"/>
    <w:rsid w:val="006B2C75"/>
    <w:rsid w:val="006B32E4"/>
    <w:rsid w:val="006B4420"/>
    <w:rsid w:val="006B4463"/>
    <w:rsid w:val="006B4B67"/>
    <w:rsid w:val="006B4B73"/>
    <w:rsid w:val="006B4D5B"/>
    <w:rsid w:val="006B597F"/>
    <w:rsid w:val="006B599E"/>
    <w:rsid w:val="006B6399"/>
    <w:rsid w:val="006B6BB4"/>
    <w:rsid w:val="006B7847"/>
    <w:rsid w:val="006B7F06"/>
    <w:rsid w:val="006C0048"/>
    <w:rsid w:val="006C1014"/>
    <w:rsid w:val="006C117E"/>
    <w:rsid w:val="006C142A"/>
    <w:rsid w:val="006C1D52"/>
    <w:rsid w:val="006C2D85"/>
    <w:rsid w:val="006C3393"/>
    <w:rsid w:val="006C3F7B"/>
    <w:rsid w:val="006C4734"/>
    <w:rsid w:val="006C4C36"/>
    <w:rsid w:val="006C505C"/>
    <w:rsid w:val="006C64B2"/>
    <w:rsid w:val="006D0C5A"/>
    <w:rsid w:val="006D0FBD"/>
    <w:rsid w:val="006D2FDD"/>
    <w:rsid w:val="006D34DD"/>
    <w:rsid w:val="006D3742"/>
    <w:rsid w:val="006D374A"/>
    <w:rsid w:val="006D4DE0"/>
    <w:rsid w:val="006D5BA2"/>
    <w:rsid w:val="006D6224"/>
    <w:rsid w:val="006D64F0"/>
    <w:rsid w:val="006D724E"/>
    <w:rsid w:val="006D769B"/>
    <w:rsid w:val="006E1685"/>
    <w:rsid w:val="006E245F"/>
    <w:rsid w:val="006E288D"/>
    <w:rsid w:val="006E2C10"/>
    <w:rsid w:val="006E2D85"/>
    <w:rsid w:val="006E30D7"/>
    <w:rsid w:val="006E3969"/>
    <w:rsid w:val="006E399D"/>
    <w:rsid w:val="006E3E02"/>
    <w:rsid w:val="006E425F"/>
    <w:rsid w:val="006E5073"/>
    <w:rsid w:val="006E5379"/>
    <w:rsid w:val="006E5833"/>
    <w:rsid w:val="006E7758"/>
    <w:rsid w:val="006F0160"/>
    <w:rsid w:val="006F0547"/>
    <w:rsid w:val="006F098D"/>
    <w:rsid w:val="006F1565"/>
    <w:rsid w:val="006F2D54"/>
    <w:rsid w:val="006F3D69"/>
    <w:rsid w:val="006F3E5D"/>
    <w:rsid w:val="006F4365"/>
    <w:rsid w:val="006F484B"/>
    <w:rsid w:val="006F6647"/>
    <w:rsid w:val="006F6654"/>
    <w:rsid w:val="006F6CFA"/>
    <w:rsid w:val="007000EA"/>
    <w:rsid w:val="007004CA"/>
    <w:rsid w:val="00700FB4"/>
    <w:rsid w:val="00701812"/>
    <w:rsid w:val="00701B34"/>
    <w:rsid w:val="00701CDD"/>
    <w:rsid w:val="00701EE5"/>
    <w:rsid w:val="0070263F"/>
    <w:rsid w:val="00703245"/>
    <w:rsid w:val="00704D34"/>
    <w:rsid w:val="0071027B"/>
    <w:rsid w:val="00710534"/>
    <w:rsid w:val="00711286"/>
    <w:rsid w:val="0071445F"/>
    <w:rsid w:val="00714CF6"/>
    <w:rsid w:val="00714DF7"/>
    <w:rsid w:val="00714E12"/>
    <w:rsid w:val="00715144"/>
    <w:rsid w:val="00715919"/>
    <w:rsid w:val="00715D20"/>
    <w:rsid w:val="0072075B"/>
    <w:rsid w:val="007209F8"/>
    <w:rsid w:val="00721C02"/>
    <w:rsid w:val="00721CF4"/>
    <w:rsid w:val="00722BEE"/>
    <w:rsid w:val="00723B61"/>
    <w:rsid w:val="00724171"/>
    <w:rsid w:val="007242C0"/>
    <w:rsid w:val="00725357"/>
    <w:rsid w:val="00725422"/>
    <w:rsid w:val="007257B3"/>
    <w:rsid w:val="00725E1A"/>
    <w:rsid w:val="00726801"/>
    <w:rsid w:val="00726C8D"/>
    <w:rsid w:val="00727680"/>
    <w:rsid w:val="00727E11"/>
    <w:rsid w:val="00727FC1"/>
    <w:rsid w:val="007305CA"/>
    <w:rsid w:val="007313EF"/>
    <w:rsid w:val="0073224C"/>
    <w:rsid w:val="007322D0"/>
    <w:rsid w:val="00732759"/>
    <w:rsid w:val="007332BF"/>
    <w:rsid w:val="007341ED"/>
    <w:rsid w:val="00734CFC"/>
    <w:rsid w:val="00734D12"/>
    <w:rsid w:val="007350DC"/>
    <w:rsid w:val="00735737"/>
    <w:rsid w:val="00736525"/>
    <w:rsid w:val="00736579"/>
    <w:rsid w:val="007365FC"/>
    <w:rsid w:val="00736FAD"/>
    <w:rsid w:val="00737E3E"/>
    <w:rsid w:val="00740C0B"/>
    <w:rsid w:val="00740C24"/>
    <w:rsid w:val="00743148"/>
    <w:rsid w:val="007456AF"/>
    <w:rsid w:val="00745AA8"/>
    <w:rsid w:val="0074666D"/>
    <w:rsid w:val="007466AB"/>
    <w:rsid w:val="007469A7"/>
    <w:rsid w:val="00746B2F"/>
    <w:rsid w:val="007475F4"/>
    <w:rsid w:val="00747637"/>
    <w:rsid w:val="00747790"/>
    <w:rsid w:val="00747CD7"/>
    <w:rsid w:val="00751366"/>
    <w:rsid w:val="00751EC4"/>
    <w:rsid w:val="007531D5"/>
    <w:rsid w:val="007536F0"/>
    <w:rsid w:val="00753C7F"/>
    <w:rsid w:val="00753CD5"/>
    <w:rsid w:val="00755AF7"/>
    <w:rsid w:val="00755B84"/>
    <w:rsid w:val="00755CEA"/>
    <w:rsid w:val="00755E61"/>
    <w:rsid w:val="00755F38"/>
    <w:rsid w:val="007560EE"/>
    <w:rsid w:val="00756442"/>
    <w:rsid w:val="00756653"/>
    <w:rsid w:val="007566E7"/>
    <w:rsid w:val="00756B30"/>
    <w:rsid w:val="0076041C"/>
    <w:rsid w:val="00760614"/>
    <w:rsid w:val="00760EF2"/>
    <w:rsid w:val="00762139"/>
    <w:rsid w:val="00762B65"/>
    <w:rsid w:val="007632C4"/>
    <w:rsid w:val="00763658"/>
    <w:rsid w:val="00763FF3"/>
    <w:rsid w:val="0076638B"/>
    <w:rsid w:val="007663E0"/>
    <w:rsid w:val="00766424"/>
    <w:rsid w:val="0076725C"/>
    <w:rsid w:val="007672A2"/>
    <w:rsid w:val="00770143"/>
    <w:rsid w:val="00770353"/>
    <w:rsid w:val="00770BCE"/>
    <w:rsid w:val="007712A2"/>
    <w:rsid w:val="0077272D"/>
    <w:rsid w:val="00773E00"/>
    <w:rsid w:val="00773FF6"/>
    <w:rsid w:val="007752CE"/>
    <w:rsid w:val="00776A9C"/>
    <w:rsid w:val="00777B68"/>
    <w:rsid w:val="0078054E"/>
    <w:rsid w:val="00781516"/>
    <w:rsid w:val="00781546"/>
    <w:rsid w:val="0078163F"/>
    <w:rsid w:val="0078227B"/>
    <w:rsid w:val="007822D6"/>
    <w:rsid w:val="00783ECB"/>
    <w:rsid w:val="00786163"/>
    <w:rsid w:val="00786169"/>
    <w:rsid w:val="007868DC"/>
    <w:rsid w:val="00787BE6"/>
    <w:rsid w:val="00790AD2"/>
    <w:rsid w:val="00790AF0"/>
    <w:rsid w:val="00790CF0"/>
    <w:rsid w:val="00790E10"/>
    <w:rsid w:val="007913FF"/>
    <w:rsid w:val="0079162B"/>
    <w:rsid w:val="00791B45"/>
    <w:rsid w:val="00791F8A"/>
    <w:rsid w:val="00793139"/>
    <w:rsid w:val="00793922"/>
    <w:rsid w:val="00793CEB"/>
    <w:rsid w:val="00794821"/>
    <w:rsid w:val="0079517C"/>
    <w:rsid w:val="007954F1"/>
    <w:rsid w:val="00796599"/>
    <w:rsid w:val="00796D47"/>
    <w:rsid w:val="0079732A"/>
    <w:rsid w:val="007A06A7"/>
    <w:rsid w:val="007A08A9"/>
    <w:rsid w:val="007A0D62"/>
    <w:rsid w:val="007A31F3"/>
    <w:rsid w:val="007A36A0"/>
    <w:rsid w:val="007A3ADE"/>
    <w:rsid w:val="007A40ED"/>
    <w:rsid w:val="007A4986"/>
    <w:rsid w:val="007A4A31"/>
    <w:rsid w:val="007A6902"/>
    <w:rsid w:val="007A714E"/>
    <w:rsid w:val="007A7ACA"/>
    <w:rsid w:val="007B02AB"/>
    <w:rsid w:val="007B05CD"/>
    <w:rsid w:val="007B0D18"/>
    <w:rsid w:val="007B1449"/>
    <w:rsid w:val="007B17DE"/>
    <w:rsid w:val="007B1E29"/>
    <w:rsid w:val="007B20F8"/>
    <w:rsid w:val="007B4982"/>
    <w:rsid w:val="007B5B8D"/>
    <w:rsid w:val="007B5DD5"/>
    <w:rsid w:val="007B7D52"/>
    <w:rsid w:val="007C02B8"/>
    <w:rsid w:val="007C2EF2"/>
    <w:rsid w:val="007C33FE"/>
    <w:rsid w:val="007C43F3"/>
    <w:rsid w:val="007C4854"/>
    <w:rsid w:val="007C5F11"/>
    <w:rsid w:val="007C6954"/>
    <w:rsid w:val="007C7646"/>
    <w:rsid w:val="007D03D6"/>
    <w:rsid w:val="007D063F"/>
    <w:rsid w:val="007D1001"/>
    <w:rsid w:val="007D1FE0"/>
    <w:rsid w:val="007D326A"/>
    <w:rsid w:val="007D41EA"/>
    <w:rsid w:val="007D57DE"/>
    <w:rsid w:val="007D59E0"/>
    <w:rsid w:val="007D5A71"/>
    <w:rsid w:val="007D6061"/>
    <w:rsid w:val="007D6272"/>
    <w:rsid w:val="007D7DFE"/>
    <w:rsid w:val="007D7F9C"/>
    <w:rsid w:val="007E0414"/>
    <w:rsid w:val="007E0F8C"/>
    <w:rsid w:val="007E12CE"/>
    <w:rsid w:val="007E2CCD"/>
    <w:rsid w:val="007E425B"/>
    <w:rsid w:val="007E53D6"/>
    <w:rsid w:val="007E6727"/>
    <w:rsid w:val="007E71BA"/>
    <w:rsid w:val="007E776C"/>
    <w:rsid w:val="007F0B0A"/>
    <w:rsid w:val="007F0C76"/>
    <w:rsid w:val="007F1000"/>
    <w:rsid w:val="007F2BB9"/>
    <w:rsid w:val="007F3777"/>
    <w:rsid w:val="007F4235"/>
    <w:rsid w:val="007F4485"/>
    <w:rsid w:val="007F496B"/>
    <w:rsid w:val="007F5AB6"/>
    <w:rsid w:val="007F5ED1"/>
    <w:rsid w:val="007F68C1"/>
    <w:rsid w:val="007F7DC8"/>
    <w:rsid w:val="008000B8"/>
    <w:rsid w:val="0080021C"/>
    <w:rsid w:val="00800E91"/>
    <w:rsid w:val="008011F1"/>
    <w:rsid w:val="008020C2"/>
    <w:rsid w:val="00802B3B"/>
    <w:rsid w:val="00802D8E"/>
    <w:rsid w:val="0080503F"/>
    <w:rsid w:val="00805280"/>
    <w:rsid w:val="0080568C"/>
    <w:rsid w:val="0080610B"/>
    <w:rsid w:val="00806718"/>
    <w:rsid w:val="00806884"/>
    <w:rsid w:val="00810961"/>
    <w:rsid w:val="00811CEB"/>
    <w:rsid w:val="00812D0D"/>
    <w:rsid w:val="00812D24"/>
    <w:rsid w:val="0081416A"/>
    <w:rsid w:val="008154B5"/>
    <w:rsid w:val="00815B29"/>
    <w:rsid w:val="00817561"/>
    <w:rsid w:val="00817C50"/>
    <w:rsid w:val="00817EF5"/>
    <w:rsid w:val="0082014B"/>
    <w:rsid w:val="0082023C"/>
    <w:rsid w:val="00820DDB"/>
    <w:rsid w:val="008210A1"/>
    <w:rsid w:val="0082111B"/>
    <w:rsid w:val="00821A21"/>
    <w:rsid w:val="008222E9"/>
    <w:rsid w:val="00822CF9"/>
    <w:rsid w:val="00823036"/>
    <w:rsid w:val="00823D0A"/>
    <w:rsid w:val="008248BA"/>
    <w:rsid w:val="0082522E"/>
    <w:rsid w:val="008255A0"/>
    <w:rsid w:val="00825621"/>
    <w:rsid w:val="00826227"/>
    <w:rsid w:val="008276F7"/>
    <w:rsid w:val="00830646"/>
    <w:rsid w:val="00830E57"/>
    <w:rsid w:val="0083307C"/>
    <w:rsid w:val="00834135"/>
    <w:rsid w:val="00834B26"/>
    <w:rsid w:val="008357C3"/>
    <w:rsid w:val="008362C5"/>
    <w:rsid w:val="00836B66"/>
    <w:rsid w:val="00837270"/>
    <w:rsid w:val="0083783B"/>
    <w:rsid w:val="00837950"/>
    <w:rsid w:val="00837AC6"/>
    <w:rsid w:val="00837AEC"/>
    <w:rsid w:val="00837B82"/>
    <w:rsid w:val="00840267"/>
    <w:rsid w:val="00840BF2"/>
    <w:rsid w:val="008443CD"/>
    <w:rsid w:val="00844A34"/>
    <w:rsid w:val="00845599"/>
    <w:rsid w:val="008456B0"/>
    <w:rsid w:val="0084612C"/>
    <w:rsid w:val="008462BD"/>
    <w:rsid w:val="00846F21"/>
    <w:rsid w:val="00847E44"/>
    <w:rsid w:val="00847EEE"/>
    <w:rsid w:val="0085041C"/>
    <w:rsid w:val="00850CA1"/>
    <w:rsid w:val="008514EB"/>
    <w:rsid w:val="00852338"/>
    <w:rsid w:val="00852A2E"/>
    <w:rsid w:val="00853FA7"/>
    <w:rsid w:val="0085467F"/>
    <w:rsid w:val="00854875"/>
    <w:rsid w:val="00854D92"/>
    <w:rsid w:val="00855680"/>
    <w:rsid w:val="008562B5"/>
    <w:rsid w:val="0085637E"/>
    <w:rsid w:val="00856B7A"/>
    <w:rsid w:val="00857A1A"/>
    <w:rsid w:val="008608F6"/>
    <w:rsid w:val="00860B01"/>
    <w:rsid w:val="00861015"/>
    <w:rsid w:val="008619B0"/>
    <w:rsid w:val="00861ECC"/>
    <w:rsid w:val="00861FC1"/>
    <w:rsid w:val="00862B3E"/>
    <w:rsid w:val="00863EB8"/>
    <w:rsid w:val="00863FDF"/>
    <w:rsid w:val="008640DE"/>
    <w:rsid w:val="00865857"/>
    <w:rsid w:val="0086627D"/>
    <w:rsid w:val="0086632C"/>
    <w:rsid w:val="00866902"/>
    <w:rsid w:val="00867A8D"/>
    <w:rsid w:val="00873175"/>
    <w:rsid w:val="00874109"/>
    <w:rsid w:val="0087415F"/>
    <w:rsid w:val="00874D8F"/>
    <w:rsid w:val="008755E0"/>
    <w:rsid w:val="008759BD"/>
    <w:rsid w:val="008764D2"/>
    <w:rsid w:val="0087776C"/>
    <w:rsid w:val="00880963"/>
    <w:rsid w:val="008826E8"/>
    <w:rsid w:val="0088293E"/>
    <w:rsid w:val="008829AD"/>
    <w:rsid w:val="00882A2B"/>
    <w:rsid w:val="00882A38"/>
    <w:rsid w:val="00883303"/>
    <w:rsid w:val="00884647"/>
    <w:rsid w:val="008850BA"/>
    <w:rsid w:val="00885433"/>
    <w:rsid w:val="0088599A"/>
    <w:rsid w:val="00885E86"/>
    <w:rsid w:val="00886172"/>
    <w:rsid w:val="008875D8"/>
    <w:rsid w:val="0089117D"/>
    <w:rsid w:val="00891484"/>
    <w:rsid w:val="008914E5"/>
    <w:rsid w:val="00891561"/>
    <w:rsid w:val="00891838"/>
    <w:rsid w:val="00892800"/>
    <w:rsid w:val="00892A02"/>
    <w:rsid w:val="00893150"/>
    <w:rsid w:val="008935A8"/>
    <w:rsid w:val="0089469D"/>
    <w:rsid w:val="008948A4"/>
    <w:rsid w:val="00895F45"/>
    <w:rsid w:val="0089696A"/>
    <w:rsid w:val="00897CD6"/>
    <w:rsid w:val="008A0BAE"/>
    <w:rsid w:val="008A1A0C"/>
    <w:rsid w:val="008A32A9"/>
    <w:rsid w:val="008A4D19"/>
    <w:rsid w:val="008A553E"/>
    <w:rsid w:val="008A5DEE"/>
    <w:rsid w:val="008A608E"/>
    <w:rsid w:val="008A7B46"/>
    <w:rsid w:val="008B014A"/>
    <w:rsid w:val="008B08C6"/>
    <w:rsid w:val="008B17C9"/>
    <w:rsid w:val="008B1B2D"/>
    <w:rsid w:val="008B1EA9"/>
    <w:rsid w:val="008B22DE"/>
    <w:rsid w:val="008B2746"/>
    <w:rsid w:val="008B28B7"/>
    <w:rsid w:val="008B37F9"/>
    <w:rsid w:val="008B5604"/>
    <w:rsid w:val="008B5F76"/>
    <w:rsid w:val="008B67DA"/>
    <w:rsid w:val="008B6998"/>
    <w:rsid w:val="008B715E"/>
    <w:rsid w:val="008B73D0"/>
    <w:rsid w:val="008B782B"/>
    <w:rsid w:val="008C07CD"/>
    <w:rsid w:val="008C0BF1"/>
    <w:rsid w:val="008C0EB0"/>
    <w:rsid w:val="008C0FF0"/>
    <w:rsid w:val="008C1EB6"/>
    <w:rsid w:val="008C2BB7"/>
    <w:rsid w:val="008C2D33"/>
    <w:rsid w:val="008C4595"/>
    <w:rsid w:val="008C6925"/>
    <w:rsid w:val="008C6A0A"/>
    <w:rsid w:val="008C6D05"/>
    <w:rsid w:val="008C747F"/>
    <w:rsid w:val="008C74B5"/>
    <w:rsid w:val="008C76BB"/>
    <w:rsid w:val="008C7714"/>
    <w:rsid w:val="008C7E4A"/>
    <w:rsid w:val="008D0496"/>
    <w:rsid w:val="008D1B81"/>
    <w:rsid w:val="008D29AA"/>
    <w:rsid w:val="008D2D2E"/>
    <w:rsid w:val="008D34E3"/>
    <w:rsid w:val="008D39CB"/>
    <w:rsid w:val="008D3A07"/>
    <w:rsid w:val="008D404D"/>
    <w:rsid w:val="008D4282"/>
    <w:rsid w:val="008D46DD"/>
    <w:rsid w:val="008D5324"/>
    <w:rsid w:val="008D5F6F"/>
    <w:rsid w:val="008D60B1"/>
    <w:rsid w:val="008D650D"/>
    <w:rsid w:val="008D65E6"/>
    <w:rsid w:val="008D6EE2"/>
    <w:rsid w:val="008D7076"/>
    <w:rsid w:val="008D730C"/>
    <w:rsid w:val="008D7FEE"/>
    <w:rsid w:val="008E0560"/>
    <w:rsid w:val="008E0803"/>
    <w:rsid w:val="008E1239"/>
    <w:rsid w:val="008E15B2"/>
    <w:rsid w:val="008E164C"/>
    <w:rsid w:val="008E1942"/>
    <w:rsid w:val="008E1B9A"/>
    <w:rsid w:val="008E1CC6"/>
    <w:rsid w:val="008E1D38"/>
    <w:rsid w:val="008E2A26"/>
    <w:rsid w:val="008E2A29"/>
    <w:rsid w:val="008E3689"/>
    <w:rsid w:val="008E370C"/>
    <w:rsid w:val="008E380D"/>
    <w:rsid w:val="008E3B9B"/>
    <w:rsid w:val="008E3D15"/>
    <w:rsid w:val="008E4595"/>
    <w:rsid w:val="008E4ACE"/>
    <w:rsid w:val="008E5062"/>
    <w:rsid w:val="008E59FF"/>
    <w:rsid w:val="008F079F"/>
    <w:rsid w:val="008F1838"/>
    <w:rsid w:val="008F1ED8"/>
    <w:rsid w:val="008F2DA3"/>
    <w:rsid w:val="008F3180"/>
    <w:rsid w:val="008F44EA"/>
    <w:rsid w:val="008F7E15"/>
    <w:rsid w:val="0090034C"/>
    <w:rsid w:val="009013D7"/>
    <w:rsid w:val="00901500"/>
    <w:rsid w:val="00902A72"/>
    <w:rsid w:val="00903460"/>
    <w:rsid w:val="00904800"/>
    <w:rsid w:val="00904F8C"/>
    <w:rsid w:val="00905465"/>
    <w:rsid w:val="00905E57"/>
    <w:rsid w:val="00906369"/>
    <w:rsid w:val="00906CB3"/>
    <w:rsid w:val="00907C08"/>
    <w:rsid w:val="00910360"/>
    <w:rsid w:val="00910EEA"/>
    <w:rsid w:val="00911216"/>
    <w:rsid w:val="009112C6"/>
    <w:rsid w:val="00912723"/>
    <w:rsid w:val="00912866"/>
    <w:rsid w:val="00912A99"/>
    <w:rsid w:val="009130FB"/>
    <w:rsid w:val="00914338"/>
    <w:rsid w:val="00914C79"/>
    <w:rsid w:val="00915629"/>
    <w:rsid w:val="00915AE0"/>
    <w:rsid w:val="00915C4F"/>
    <w:rsid w:val="0091605D"/>
    <w:rsid w:val="009164AA"/>
    <w:rsid w:val="00916900"/>
    <w:rsid w:val="00916B98"/>
    <w:rsid w:val="00916BB4"/>
    <w:rsid w:val="0091710F"/>
    <w:rsid w:val="009201C2"/>
    <w:rsid w:val="00920B9B"/>
    <w:rsid w:val="0092198E"/>
    <w:rsid w:val="00923466"/>
    <w:rsid w:val="009236BD"/>
    <w:rsid w:val="00923BCE"/>
    <w:rsid w:val="00925A09"/>
    <w:rsid w:val="00926A2A"/>
    <w:rsid w:val="009273EA"/>
    <w:rsid w:val="00927562"/>
    <w:rsid w:val="00927B25"/>
    <w:rsid w:val="00927EDC"/>
    <w:rsid w:val="0093005F"/>
    <w:rsid w:val="00931B54"/>
    <w:rsid w:val="009324C7"/>
    <w:rsid w:val="00933466"/>
    <w:rsid w:val="009359E1"/>
    <w:rsid w:val="00935D72"/>
    <w:rsid w:val="00936BC5"/>
    <w:rsid w:val="009379B3"/>
    <w:rsid w:val="009400EA"/>
    <w:rsid w:val="00941253"/>
    <w:rsid w:val="0094152D"/>
    <w:rsid w:val="0094167C"/>
    <w:rsid w:val="00943132"/>
    <w:rsid w:val="009432A0"/>
    <w:rsid w:val="00943F6F"/>
    <w:rsid w:val="0094400A"/>
    <w:rsid w:val="0094458B"/>
    <w:rsid w:val="00944D54"/>
    <w:rsid w:val="00944DD2"/>
    <w:rsid w:val="00945101"/>
    <w:rsid w:val="00946583"/>
    <w:rsid w:val="00947140"/>
    <w:rsid w:val="0094743A"/>
    <w:rsid w:val="00950159"/>
    <w:rsid w:val="00950CBC"/>
    <w:rsid w:val="009513CE"/>
    <w:rsid w:val="009516FF"/>
    <w:rsid w:val="0095237F"/>
    <w:rsid w:val="00952C51"/>
    <w:rsid w:val="00952E92"/>
    <w:rsid w:val="009534FA"/>
    <w:rsid w:val="00955192"/>
    <w:rsid w:val="00955D27"/>
    <w:rsid w:val="00956D87"/>
    <w:rsid w:val="009576DA"/>
    <w:rsid w:val="00957AEC"/>
    <w:rsid w:val="00960B41"/>
    <w:rsid w:val="00961D39"/>
    <w:rsid w:val="00962AB5"/>
    <w:rsid w:val="00962B0C"/>
    <w:rsid w:val="009653D3"/>
    <w:rsid w:val="00965DB5"/>
    <w:rsid w:val="00967181"/>
    <w:rsid w:val="00967286"/>
    <w:rsid w:val="00967746"/>
    <w:rsid w:val="009678C3"/>
    <w:rsid w:val="00970345"/>
    <w:rsid w:val="0097165C"/>
    <w:rsid w:val="009716C2"/>
    <w:rsid w:val="00971C00"/>
    <w:rsid w:val="00972760"/>
    <w:rsid w:val="00972944"/>
    <w:rsid w:val="00972C4E"/>
    <w:rsid w:val="0097329C"/>
    <w:rsid w:val="00973380"/>
    <w:rsid w:val="009736CD"/>
    <w:rsid w:val="00974447"/>
    <w:rsid w:val="009747FD"/>
    <w:rsid w:val="00975618"/>
    <w:rsid w:val="00976E79"/>
    <w:rsid w:val="00977CC8"/>
    <w:rsid w:val="00977DED"/>
    <w:rsid w:val="00980122"/>
    <w:rsid w:val="00981036"/>
    <w:rsid w:val="00982334"/>
    <w:rsid w:val="00982A31"/>
    <w:rsid w:val="00984667"/>
    <w:rsid w:val="00984B71"/>
    <w:rsid w:val="00985199"/>
    <w:rsid w:val="009854F3"/>
    <w:rsid w:val="00985E3C"/>
    <w:rsid w:val="0098684C"/>
    <w:rsid w:val="0098699F"/>
    <w:rsid w:val="00987322"/>
    <w:rsid w:val="009907C6"/>
    <w:rsid w:val="0099099C"/>
    <w:rsid w:val="00990C38"/>
    <w:rsid w:val="009912BA"/>
    <w:rsid w:val="00992306"/>
    <w:rsid w:val="00992899"/>
    <w:rsid w:val="00993BA6"/>
    <w:rsid w:val="00993D0A"/>
    <w:rsid w:val="00994463"/>
    <w:rsid w:val="00994721"/>
    <w:rsid w:val="00996203"/>
    <w:rsid w:val="00996DBC"/>
    <w:rsid w:val="009976FC"/>
    <w:rsid w:val="009A08CA"/>
    <w:rsid w:val="009A10D9"/>
    <w:rsid w:val="009A29AC"/>
    <w:rsid w:val="009A2A11"/>
    <w:rsid w:val="009A34A8"/>
    <w:rsid w:val="009A4B9B"/>
    <w:rsid w:val="009A659A"/>
    <w:rsid w:val="009A67A4"/>
    <w:rsid w:val="009A6A67"/>
    <w:rsid w:val="009A6BD4"/>
    <w:rsid w:val="009A77B9"/>
    <w:rsid w:val="009A7BA0"/>
    <w:rsid w:val="009A7DC7"/>
    <w:rsid w:val="009B0C35"/>
    <w:rsid w:val="009B18A0"/>
    <w:rsid w:val="009B2B89"/>
    <w:rsid w:val="009B30BD"/>
    <w:rsid w:val="009B3620"/>
    <w:rsid w:val="009B3C47"/>
    <w:rsid w:val="009B4EFB"/>
    <w:rsid w:val="009B628A"/>
    <w:rsid w:val="009B685D"/>
    <w:rsid w:val="009B71AE"/>
    <w:rsid w:val="009B787F"/>
    <w:rsid w:val="009B7CC8"/>
    <w:rsid w:val="009C0160"/>
    <w:rsid w:val="009C0B63"/>
    <w:rsid w:val="009C199E"/>
    <w:rsid w:val="009C2CA4"/>
    <w:rsid w:val="009C42B0"/>
    <w:rsid w:val="009C4434"/>
    <w:rsid w:val="009C4D14"/>
    <w:rsid w:val="009C521E"/>
    <w:rsid w:val="009C6DFE"/>
    <w:rsid w:val="009C71C7"/>
    <w:rsid w:val="009C75D3"/>
    <w:rsid w:val="009D0353"/>
    <w:rsid w:val="009D04E4"/>
    <w:rsid w:val="009D1260"/>
    <w:rsid w:val="009D1352"/>
    <w:rsid w:val="009D2038"/>
    <w:rsid w:val="009D2E3F"/>
    <w:rsid w:val="009D430A"/>
    <w:rsid w:val="009D49EF"/>
    <w:rsid w:val="009D5581"/>
    <w:rsid w:val="009D7762"/>
    <w:rsid w:val="009D78D6"/>
    <w:rsid w:val="009E01A7"/>
    <w:rsid w:val="009E06FF"/>
    <w:rsid w:val="009E1189"/>
    <w:rsid w:val="009E1798"/>
    <w:rsid w:val="009E2CA3"/>
    <w:rsid w:val="009E2F2A"/>
    <w:rsid w:val="009E3AE6"/>
    <w:rsid w:val="009E3BD1"/>
    <w:rsid w:val="009E4953"/>
    <w:rsid w:val="009E4CF5"/>
    <w:rsid w:val="009E65D1"/>
    <w:rsid w:val="009E6C5E"/>
    <w:rsid w:val="009E72DC"/>
    <w:rsid w:val="009F0648"/>
    <w:rsid w:val="009F2073"/>
    <w:rsid w:val="009F28B4"/>
    <w:rsid w:val="009F31EB"/>
    <w:rsid w:val="009F3419"/>
    <w:rsid w:val="009F53E5"/>
    <w:rsid w:val="009F5E0E"/>
    <w:rsid w:val="009F677A"/>
    <w:rsid w:val="009F702C"/>
    <w:rsid w:val="009F709D"/>
    <w:rsid w:val="009F754D"/>
    <w:rsid w:val="009F7870"/>
    <w:rsid w:val="00A001F0"/>
    <w:rsid w:val="00A0022C"/>
    <w:rsid w:val="00A01A8E"/>
    <w:rsid w:val="00A02600"/>
    <w:rsid w:val="00A04225"/>
    <w:rsid w:val="00A047C7"/>
    <w:rsid w:val="00A04C42"/>
    <w:rsid w:val="00A05242"/>
    <w:rsid w:val="00A05376"/>
    <w:rsid w:val="00A053B6"/>
    <w:rsid w:val="00A0777E"/>
    <w:rsid w:val="00A07E35"/>
    <w:rsid w:val="00A10780"/>
    <w:rsid w:val="00A11802"/>
    <w:rsid w:val="00A13047"/>
    <w:rsid w:val="00A13E44"/>
    <w:rsid w:val="00A1487C"/>
    <w:rsid w:val="00A1538A"/>
    <w:rsid w:val="00A15741"/>
    <w:rsid w:val="00A160A8"/>
    <w:rsid w:val="00A1620B"/>
    <w:rsid w:val="00A165E5"/>
    <w:rsid w:val="00A16A3D"/>
    <w:rsid w:val="00A17961"/>
    <w:rsid w:val="00A17A15"/>
    <w:rsid w:val="00A20433"/>
    <w:rsid w:val="00A212F7"/>
    <w:rsid w:val="00A21632"/>
    <w:rsid w:val="00A21FD5"/>
    <w:rsid w:val="00A21FF3"/>
    <w:rsid w:val="00A2270C"/>
    <w:rsid w:val="00A22E97"/>
    <w:rsid w:val="00A24064"/>
    <w:rsid w:val="00A249D9"/>
    <w:rsid w:val="00A24C22"/>
    <w:rsid w:val="00A25378"/>
    <w:rsid w:val="00A256FB"/>
    <w:rsid w:val="00A25A95"/>
    <w:rsid w:val="00A271FC"/>
    <w:rsid w:val="00A27BAD"/>
    <w:rsid w:val="00A304A7"/>
    <w:rsid w:val="00A30723"/>
    <w:rsid w:val="00A30F82"/>
    <w:rsid w:val="00A314A5"/>
    <w:rsid w:val="00A32510"/>
    <w:rsid w:val="00A329A1"/>
    <w:rsid w:val="00A32F89"/>
    <w:rsid w:val="00A33028"/>
    <w:rsid w:val="00A337BA"/>
    <w:rsid w:val="00A33BCE"/>
    <w:rsid w:val="00A3486E"/>
    <w:rsid w:val="00A35ADE"/>
    <w:rsid w:val="00A35C6B"/>
    <w:rsid w:val="00A37202"/>
    <w:rsid w:val="00A40221"/>
    <w:rsid w:val="00A402CD"/>
    <w:rsid w:val="00A405B2"/>
    <w:rsid w:val="00A407F4"/>
    <w:rsid w:val="00A40CCC"/>
    <w:rsid w:val="00A41518"/>
    <w:rsid w:val="00A4167A"/>
    <w:rsid w:val="00A417B9"/>
    <w:rsid w:val="00A4201E"/>
    <w:rsid w:val="00A4284A"/>
    <w:rsid w:val="00A444EC"/>
    <w:rsid w:val="00A4624C"/>
    <w:rsid w:val="00A46C18"/>
    <w:rsid w:val="00A4795C"/>
    <w:rsid w:val="00A47A68"/>
    <w:rsid w:val="00A50776"/>
    <w:rsid w:val="00A50EBC"/>
    <w:rsid w:val="00A51158"/>
    <w:rsid w:val="00A51E23"/>
    <w:rsid w:val="00A54C1A"/>
    <w:rsid w:val="00A5797B"/>
    <w:rsid w:val="00A57B56"/>
    <w:rsid w:val="00A60430"/>
    <w:rsid w:val="00A60DDF"/>
    <w:rsid w:val="00A611F8"/>
    <w:rsid w:val="00A63F9C"/>
    <w:rsid w:val="00A64555"/>
    <w:rsid w:val="00A64C0C"/>
    <w:rsid w:val="00A650E6"/>
    <w:rsid w:val="00A658A2"/>
    <w:rsid w:val="00A678DC"/>
    <w:rsid w:val="00A67936"/>
    <w:rsid w:val="00A67A46"/>
    <w:rsid w:val="00A67B08"/>
    <w:rsid w:val="00A71FC7"/>
    <w:rsid w:val="00A720E8"/>
    <w:rsid w:val="00A72695"/>
    <w:rsid w:val="00A7317F"/>
    <w:rsid w:val="00A7435F"/>
    <w:rsid w:val="00A7500F"/>
    <w:rsid w:val="00A75173"/>
    <w:rsid w:val="00A75707"/>
    <w:rsid w:val="00A75EAE"/>
    <w:rsid w:val="00A75EE1"/>
    <w:rsid w:val="00A774C1"/>
    <w:rsid w:val="00A77772"/>
    <w:rsid w:val="00A77FE0"/>
    <w:rsid w:val="00A812F5"/>
    <w:rsid w:val="00A82FC3"/>
    <w:rsid w:val="00A83203"/>
    <w:rsid w:val="00A83E11"/>
    <w:rsid w:val="00A83FB3"/>
    <w:rsid w:val="00A8429C"/>
    <w:rsid w:val="00A84A30"/>
    <w:rsid w:val="00A84A82"/>
    <w:rsid w:val="00A859F0"/>
    <w:rsid w:val="00A9026E"/>
    <w:rsid w:val="00A90D66"/>
    <w:rsid w:val="00A9102D"/>
    <w:rsid w:val="00A9140B"/>
    <w:rsid w:val="00A918B7"/>
    <w:rsid w:val="00A92437"/>
    <w:rsid w:val="00A92548"/>
    <w:rsid w:val="00A925AC"/>
    <w:rsid w:val="00A92D1D"/>
    <w:rsid w:val="00A94618"/>
    <w:rsid w:val="00A9470C"/>
    <w:rsid w:val="00A9491A"/>
    <w:rsid w:val="00A94B68"/>
    <w:rsid w:val="00A95806"/>
    <w:rsid w:val="00A959B3"/>
    <w:rsid w:val="00A96AF5"/>
    <w:rsid w:val="00A96B25"/>
    <w:rsid w:val="00A97020"/>
    <w:rsid w:val="00AA091B"/>
    <w:rsid w:val="00AA0D31"/>
    <w:rsid w:val="00AA14B4"/>
    <w:rsid w:val="00AA2487"/>
    <w:rsid w:val="00AA3D47"/>
    <w:rsid w:val="00AA4D0E"/>
    <w:rsid w:val="00AA534C"/>
    <w:rsid w:val="00AA6766"/>
    <w:rsid w:val="00AA6FE6"/>
    <w:rsid w:val="00AB02C6"/>
    <w:rsid w:val="00AB0D8A"/>
    <w:rsid w:val="00AB0F2A"/>
    <w:rsid w:val="00AB27C2"/>
    <w:rsid w:val="00AB310D"/>
    <w:rsid w:val="00AB3F57"/>
    <w:rsid w:val="00AB42CA"/>
    <w:rsid w:val="00AB4F62"/>
    <w:rsid w:val="00AB5525"/>
    <w:rsid w:val="00AB6084"/>
    <w:rsid w:val="00AB6471"/>
    <w:rsid w:val="00AB66AC"/>
    <w:rsid w:val="00AC0519"/>
    <w:rsid w:val="00AC0884"/>
    <w:rsid w:val="00AC11C4"/>
    <w:rsid w:val="00AC155B"/>
    <w:rsid w:val="00AC162D"/>
    <w:rsid w:val="00AC24C7"/>
    <w:rsid w:val="00AC489C"/>
    <w:rsid w:val="00AC5763"/>
    <w:rsid w:val="00AC5A5F"/>
    <w:rsid w:val="00AC5A6A"/>
    <w:rsid w:val="00AC5DC0"/>
    <w:rsid w:val="00AC63EB"/>
    <w:rsid w:val="00AC67C3"/>
    <w:rsid w:val="00AC7E21"/>
    <w:rsid w:val="00AD0876"/>
    <w:rsid w:val="00AD177E"/>
    <w:rsid w:val="00AD1995"/>
    <w:rsid w:val="00AD1CDD"/>
    <w:rsid w:val="00AD2158"/>
    <w:rsid w:val="00AD2F52"/>
    <w:rsid w:val="00AD2FF8"/>
    <w:rsid w:val="00AD3978"/>
    <w:rsid w:val="00AD3F30"/>
    <w:rsid w:val="00AD50F6"/>
    <w:rsid w:val="00AD6537"/>
    <w:rsid w:val="00AE1585"/>
    <w:rsid w:val="00AE1E11"/>
    <w:rsid w:val="00AE2D31"/>
    <w:rsid w:val="00AE3AE7"/>
    <w:rsid w:val="00AE4239"/>
    <w:rsid w:val="00AE45F0"/>
    <w:rsid w:val="00AE46A2"/>
    <w:rsid w:val="00AE5FB6"/>
    <w:rsid w:val="00AF3338"/>
    <w:rsid w:val="00AF3ABB"/>
    <w:rsid w:val="00AF405F"/>
    <w:rsid w:val="00AF4423"/>
    <w:rsid w:val="00AF45D7"/>
    <w:rsid w:val="00AF4AFB"/>
    <w:rsid w:val="00AF50C2"/>
    <w:rsid w:val="00AF7593"/>
    <w:rsid w:val="00B002F2"/>
    <w:rsid w:val="00B016CF"/>
    <w:rsid w:val="00B017FC"/>
    <w:rsid w:val="00B01E99"/>
    <w:rsid w:val="00B0396D"/>
    <w:rsid w:val="00B046D7"/>
    <w:rsid w:val="00B04F54"/>
    <w:rsid w:val="00B058BB"/>
    <w:rsid w:val="00B05EDA"/>
    <w:rsid w:val="00B06375"/>
    <w:rsid w:val="00B06D42"/>
    <w:rsid w:val="00B06D97"/>
    <w:rsid w:val="00B06FC1"/>
    <w:rsid w:val="00B07517"/>
    <w:rsid w:val="00B07C0B"/>
    <w:rsid w:val="00B07D66"/>
    <w:rsid w:val="00B104F8"/>
    <w:rsid w:val="00B10A73"/>
    <w:rsid w:val="00B10D7B"/>
    <w:rsid w:val="00B1105C"/>
    <w:rsid w:val="00B11262"/>
    <w:rsid w:val="00B11411"/>
    <w:rsid w:val="00B124C6"/>
    <w:rsid w:val="00B12B48"/>
    <w:rsid w:val="00B12DC7"/>
    <w:rsid w:val="00B13203"/>
    <w:rsid w:val="00B13FFF"/>
    <w:rsid w:val="00B1492F"/>
    <w:rsid w:val="00B15AAF"/>
    <w:rsid w:val="00B16F1A"/>
    <w:rsid w:val="00B17ABF"/>
    <w:rsid w:val="00B2015E"/>
    <w:rsid w:val="00B21C17"/>
    <w:rsid w:val="00B2267E"/>
    <w:rsid w:val="00B22E79"/>
    <w:rsid w:val="00B232C7"/>
    <w:rsid w:val="00B2346B"/>
    <w:rsid w:val="00B23904"/>
    <w:rsid w:val="00B24033"/>
    <w:rsid w:val="00B24799"/>
    <w:rsid w:val="00B251D3"/>
    <w:rsid w:val="00B256E4"/>
    <w:rsid w:val="00B2577A"/>
    <w:rsid w:val="00B257F6"/>
    <w:rsid w:val="00B26281"/>
    <w:rsid w:val="00B26B69"/>
    <w:rsid w:val="00B27210"/>
    <w:rsid w:val="00B27C89"/>
    <w:rsid w:val="00B3036D"/>
    <w:rsid w:val="00B30680"/>
    <w:rsid w:val="00B309FA"/>
    <w:rsid w:val="00B30D4D"/>
    <w:rsid w:val="00B312BE"/>
    <w:rsid w:val="00B315EE"/>
    <w:rsid w:val="00B316A8"/>
    <w:rsid w:val="00B31B9B"/>
    <w:rsid w:val="00B32716"/>
    <w:rsid w:val="00B33477"/>
    <w:rsid w:val="00B34C89"/>
    <w:rsid w:val="00B34FF3"/>
    <w:rsid w:val="00B3506C"/>
    <w:rsid w:val="00B40794"/>
    <w:rsid w:val="00B40A8D"/>
    <w:rsid w:val="00B40D39"/>
    <w:rsid w:val="00B4100D"/>
    <w:rsid w:val="00B413EF"/>
    <w:rsid w:val="00B41B4C"/>
    <w:rsid w:val="00B42602"/>
    <w:rsid w:val="00B42658"/>
    <w:rsid w:val="00B42D14"/>
    <w:rsid w:val="00B438D3"/>
    <w:rsid w:val="00B43F3F"/>
    <w:rsid w:val="00B445A4"/>
    <w:rsid w:val="00B4464D"/>
    <w:rsid w:val="00B44D41"/>
    <w:rsid w:val="00B44E06"/>
    <w:rsid w:val="00B45A4F"/>
    <w:rsid w:val="00B467E3"/>
    <w:rsid w:val="00B47996"/>
    <w:rsid w:val="00B50858"/>
    <w:rsid w:val="00B50D58"/>
    <w:rsid w:val="00B51B04"/>
    <w:rsid w:val="00B51D4F"/>
    <w:rsid w:val="00B52E0B"/>
    <w:rsid w:val="00B52F8D"/>
    <w:rsid w:val="00B54FBB"/>
    <w:rsid w:val="00B563C3"/>
    <w:rsid w:val="00B56466"/>
    <w:rsid w:val="00B5753E"/>
    <w:rsid w:val="00B6048A"/>
    <w:rsid w:val="00B61483"/>
    <w:rsid w:val="00B63058"/>
    <w:rsid w:val="00B63065"/>
    <w:rsid w:val="00B63889"/>
    <w:rsid w:val="00B64120"/>
    <w:rsid w:val="00B67538"/>
    <w:rsid w:val="00B70E53"/>
    <w:rsid w:val="00B7158E"/>
    <w:rsid w:val="00B7218A"/>
    <w:rsid w:val="00B72D7D"/>
    <w:rsid w:val="00B72E38"/>
    <w:rsid w:val="00B74125"/>
    <w:rsid w:val="00B74FBE"/>
    <w:rsid w:val="00B7567D"/>
    <w:rsid w:val="00B75736"/>
    <w:rsid w:val="00B80125"/>
    <w:rsid w:val="00B809D1"/>
    <w:rsid w:val="00B80EE1"/>
    <w:rsid w:val="00B81344"/>
    <w:rsid w:val="00B8240E"/>
    <w:rsid w:val="00B827D4"/>
    <w:rsid w:val="00B829BA"/>
    <w:rsid w:val="00B82AAD"/>
    <w:rsid w:val="00B834BC"/>
    <w:rsid w:val="00B83829"/>
    <w:rsid w:val="00B83E00"/>
    <w:rsid w:val="00B847E7"/>
    <w:rsid w:val="00B84D34"/>
    <w:rsid w:val="00B85848"/>
    <w:rsid w:val="00B85B9C"/>
    <w:rsid w:val="00B90E4E"/>
    <w:rsid w:val="00B90E93"/>
    <w:rsid w:val="00B9160F"/>
    <w:rsid w:val="00B91771"/>
    <w:rsid w:val="00B92EAB"/>
    <w:rsid w:val="00B92F86"/>
    <w:rsid w:val="00B93B24"/>
    <w:rsid w:val="00B94CD1"/>
    <w:rsid w:val="00B95B6E"/>
    <w:rsid w:val="00B95BCD"/>
    <w:rsid w:val="00B95CB2"/>
    <w:rsid w:val="00B973BF"/>
    <w:rsid w:val="00B97525"/>
    <w:rsid w:val="00BA047E"/>
    <w:rsid w:val="00BA0623"/>
    <w:rsid w:val="00BA0EFE"/>
    <w:rsid w:val="00BA22FC"/>
    <w:rsid w:val="00BA232F"/>
    <w:rsid w:val="00BA2700"/>
    <w:rsid w:val="00BA462C"/>
    <w:rsid w:val="00BA56D3"/>
    <w:rsid w:val="00BA5826"/>
    <w:rsid w:val="00BA5A30"/>
    <w:rsid w:val="00BA683E"/>
    <w:rsid w:val="00BB04B3"/>
    <w:rsid w:val="00BB36AB"/>
    <w:rsid w:val="00BB3CF1"/>
    <w:rsid w:val="00BB4108"/>
    <w:rsid w:val="00BB439E"/>
    <w:rsid w:val="00BB44F2"/>
    <w:rsid w:val="00BB453C"/>
    <w:rsid w:val="00BB46B0"/>
    <w:rsid w:val="00BB598A"/>
    <w:rsid w:val="00BB5E22"/>
    <w:rsid w:val="00BB6B53"/>
    <w:rsid w:val="00BB6D45"/>
    <w:rsid w:val="00BB74C4"/>
    <w:rsid w:val="00BC05EB"/>
    <w:rsid w:val="00BC0A48"/>
    <w:rsid w:val="00BC0B0F"/>
    <w:rsid w:val="00BC3484"/>
    <w:rsid w:val="00BC3B36"/>
    <w:rsid w:val="00BC572C"/>
    <w:rsid w:val="00BC5AB2"/>
    <w:rsid w:val="00BC5C1C"/>
    <w:rsid w:val="00BC5EE3"/>
    <w:rsid w:val="00BC667A"/>
    <w:rsid w:val="00BD0C0D"/>
    <w:rsid w:val="00BD16AE"/>
    <w:rsid w:val="00BD1BB6"/>
    <w:rsid w:val="00BD1C80"/>
    <w:rsid w:val="00BD2681"/>
    <w:rsid w:val="00BD2721"/>
    <w:rsid w:val="00BD2DF9"/>
    <w:rsid w:val="00BD342E"/>
    <w:rsid w:val="00BD40D9"/>
    <w:rsid w:val="00BD49CF"/>
    <w:rsid w:val="00BD4B69"/>
    <w:rsid w:val="00BD671A"/>
    <w:rsid w:val="00BD6818"/>
    <w:rsid w:val="00BD6BDD"/>
    <w:rsid w:val="00BD720C"/>
    <w:rsid w:val="00BD793A"/>
    <w:rsid w:val="00BE02C6"/>
    <w:rsid w:val="00BE06D6"/>
    <w:rsid w:val="00BE07D1"/>
    <w:rsid w:val="00BE11FD"/>
    <w:rsid w:val="00BE124E"/>
    <w:rsid w:val="00BE15D1"/>
    <w:rsid w:val="00BE182D"/>
    <w:rsid w:val="00BE18AA"/>
    <w:rsid w:val="00BE1BB1"/>
    <w:rsid w:val="00BE22D5"/>
    <w:rsid w:val="00BE27E8"/>
    <w:rsid w:val="00BE4C52"/>
    <w:rsid w:val="00BE57A7"/>
    <w:rsid w:val="00BE5AE1"/>
    <w:rsid w:val="00BE69FA"/>
    <w:rsid w:val="00BE7CE4"/>
    <w:rsid w:val="00BE7DDC"/>
    <w:rsid w:val="00BF075A"/>
    <w:rsid w:val="00BF07E0"/>
    <w:rsid w:val="00BF0A65"/>
    <w:rsid w:val="00BF0AAE"/>
    <w:rsid w:val="00BF181E"/>
    <w:rsid w:val="00BF22F6"/>
    <w:rsid w:val="00BF2532"/>
    <w:rsid w:val="00BF25D1"/>
    <w:rsid w:val="00BF2975"/>
    <w:rsid w:val="00BF330D"/>
    <w:rsid w:val="00BF5024"/>
    <w:rsid w:val="00BF52AC"/>
    <w:rsid w:val="00BF5D22"/>
    <w:rsid w:val="00BF60D4"/>
    <w:rsid w:val="00BF654C"/>
    <w:rsid w:val="00BF6B4B"/>
    <w:rsid w:val="00BF6EB4"/>
    <w:rsid w:val="00BF6F26"/>
    <w:rsid w:val="00BF7163"/>
    <w:rsid w:val="00C008FB"/>
    <w:rsid w:val="00C00D01"/>
    <w:rsid w:val="00C01A59"/>
    <w:rsid w:val="00C01BB8"/>
    <w:rsid w:val="00C01BCB"/>
    <w:rsid w:val="00C01E2F"/>
    <w:rsid w:val="00C03477"/>
    <w:rsid w:val="00C0394E"/>
    <w:rsid w:val="00C03962"/>
    <w:rsid w:val="00C04004"/>
    <w:rsid w:val="00C04D8D"/>
    <w:rsid w:val="00C05039"/>
    <w:rsid w:val="00C053A8"/>
    <w:rsid w:val="00C053F1"/>
    <w:rsid w:val="00C057E0"/>
    <w:rsid w:val="00C05BA1"/>
    <w:rsid w:val="00C06488"/>
    <w:rsid w:val="00C07229"/>
    <w:rsid w:val="00C1177B"/>
    <w:rsid w:val="00C13A89"/>
    <w:rsid w:val="00C146AF"/>
    <w:rsid w:val="00C15204"/>
    <w:rsid w:val="00C16313"/>
    <w:rsid w:val="00C17571"/>
    <w:rsid w:val="00C1799E"/>
    <w:rsid w:val="00C20EAF"/>
    <w:rsid w:val="00C215E2"/>
    <w:rsid w:val="00C22180"/>
    <w:rsid w:val="00C2236C"/>
    <w:rsid w:val="00C228C6"/>
    <w:rsid w:val="00C232E1"/>
    <w:rsid w:val="00C25135"/>
    <w:rsid w:val="00C25718"/>
    <w:rsid w:val="00C25D0B"/>
    <w:rsid w:val="00C268E2"/>
    <w:rsid w:val="00C27304"/>
    <w:rsid w:val="00C27FD9"/>
    <w:rsid w:val="00C30CB4"/>
    <w:rsid w:val="00C319ED"/>
    <w:rsid w:val="00C31A34"/>
    <w:rsid w:val="00C31B12"/>
    <w:rsid w:val="00C33607"/>
    <w:rsid w:val="00C33ED9"/>
    <w:rsid w:val="00C34183"/>
    <w:rsid w:val="00C346B4"/>
    <w:rsid w:val="00C34ED5"/>
    <w:rsid w:val="00C353A1"/>
    <w:rsid w:val="00C3541F"/>
    <w:rsid w:val="00C35812"/>
    <w:rsid w:val="00C35B62"/>
    <w:rsid w:val="00C35DB1"/>
    <w:rsid w:val="00C3645E"/>
    <w:rsid w:val="00C401A1"/>
    <w:rsid w:val="00C408A0"/>
    <w:rsid w:val="00C40C2A"/>
    <w:rsid w:val="00C40FA9"/>
    <w:rsid w:val="00C424A0"/>
    <w:rsid w:val="00C43769"/>
    <w:rsid w:val="00C45159"/>
    <w:rsid w:val="00C45771"/>
    <w:rsid w:val="00C45B24"/>
    <w:rsid w:val="00C45EFC"/>
    <w:rsid w:val="00C471CA"/>
    <w:rsid w:val="00C47531"/>
    <w:rsid w:val="00C4758E"/>
    <w:rsid w:val="00C479EB"/>
    <w:rsid w:val="00C47B8B"/>
    <w:rsid w:val="00C5020E"/>
    <w:rsid w:val="00C5210A"/>
    <w:rsid w:val="00C52E1B"/>
    <w:rsid w:val="00C5319D"/>
    <w:rsid w:val="00C54940"/>
    <w:rsid w:val="00C54C72"/>
    <w:rsid w:val="00C566B2"/>
    <w:rsid w:val="00C56C61"/>
    <w:rsid w:val="00C57945"/>
    <w:rsid w:val="00C579C1"/>
    <w:rsid w:val="00C579F0"/>
    <w:rsid w:val="00C60BF0"/>
    <w:rsid w:val="00C630BB"/>
    <w:rsid w:val="00C64319"/>
    <w:rsid w:val="00C6522B"/>
    <w:rsid w:val="00C65CC5"/>
    <w:rsid w:val="00C70294"/>
    <w:rsid w:val="00C70570"/>
    <w:rsid w:val="00C70ADE"/>
    <w:rsid w:val="00C70CB8"/>
    <w:rsid w:val="00C70DC5"/>
    <w:rsid w:val="00C71E9E"/>
    <w:rsid w:val="00C720AC"/>
    <w:rsid w:val="00C728C0"/>
    <w:rsid w:val="00C72F91"/>
    <w:rsid w:val="00C73FCE"/>
    <w:rsid w:val="00C74A91"/>
    <w:rsid w:val="00C76693"/>
    <w:rsid w:val="00C76AA8"/>
    <w:rsid w:val="00C77173"/>
    <w:rsid w:val="00C800AD"/>
    <w:rsid w:val="00C8043E"/>
    <w:rsid w:val="00C8060F"/>
    <w:rsid w:val="00C807A8"/>
    <w:rsid w:val="00C80866"/>
    <w:rsid w:val="00C8120E"/>
    <w:rsid w:val="00C81CA6"/>
    <w:rsid w:val="00C8223F"/>
    <w:rsid w:val="00C82C2C"/>
    <w:rsid w:val="00C83DBB"/>
    <w:rsid w:val="00C84585"/>
    <w:rsid w:val="00C848F3"/>
    <w:rsid w:val="00C84C12"/>
    <w:rsid w:val="00C84CCE"/>
    <w:rsid w:val="00C86EA3"/>
    <w:rsid w:val="00C87218"/>
    <w:rsid w:val="00C87777"/>
    <w:rsid w:val="00C879C4"/>
    <w:rsid w:val="00C90281"/>
    <w:rsid w:val="00C90954"/>
    <w:rsid w:val="00C90FA2"/>
    <w:rsid w:val="00C91179"/>
    <w:rsid w:val="00C915EB"/>
    <w:rsid w:val="00C91E91"/>
    <w:rsid w:val="00C92657"/>
    <w:rsid w:val="00C926B1"/>
    <w:rsid w:val="00C92785"/>
    <w:rsid w:val="00C929B5"/>
    <w:rsid w:val="00C9380D"/>
    <w:rsid w:val="00C940B2"/>
    <w:rsid w:val="00C94E33"/>
    <w:rsid w:val="00C94F06"/>
    <w:rsid w:val="00C95ADF"/>
    <w:rsid w:val="00C960F9"/>
    <w:rsid w:val="00C9699E"/>
    <w:rsid w:val="00C96C23"/>
    <w:rsid w:val="00C9747A"/>
    <w:rsid w:val="00C979E5"/>
    <w:rsid w:val="00CA0D66"/>
    <w:rsid w:val="00CA2D84"/>
    <w:rsid w:val="00CA2D8E"/>
    <w:rsid w:val="00CA32F8"/>
    <w:rsid w:val="00CA3987"/>
    <w:rsid w:val="00CA41B7"/>
    <w:rsid w:val="00CA53A0"/>
    <w:rsid w:val="00CA5922"/>
    <w:rsid w:val="00CA6B46"/>
    <w:rsid w:val="00CA6CC0"/>
    <w:rsid w:val="00CA740A"/>
    <w:rsid w:val="00CB077C"/>
    <w:rsid w:val="00CB07DE"/>
    <w:rsid w:val="00CB08F3"/>
    <w:rsid w:val="00CB1900"/>
    <w:rsid w:val="00CB1DFC"/>
    <w:rsid w:val="00CB2F22"/>
    <w:rsid w:val="00CB4539"/>
    <w:rsid w:val="00CB513A"/>
    <w:rsid w:val="00CB639B"/>
    <w:rsid w:val="00CB7304"/>
    <w:rsid w:val="00CC0510"/>
    <w:rsid w:val="00CC1180"/>
    <w:rsid w:val="00CC1663"/>
    <w:rsid w:val="00CC16CC"/>
    <w:rsid w:val="00CC27EF"/>
    <w:rsid w:val="00CC371B"/>
    <w:rsid w:val="00CC4C35"/>
    <w:rsid w:val="00CC5392"/>
    <w:rsid w:val="00CC561A"/>
    <w:rsid w:val="00CC5783"/>
    <w:rsid w:val="00CC677D"/>
    <w:rsid w:val="00CC6E2A"/>
    <w:rsid w:val="00CC7460"/>
    <w:rsid w:val="00CD0131"/>
    <w:rsid w:val="00CD0A04"/>
    <w:rsid w:val="00CD1D1E"/>
    <w:rsid w:val="00CD2DA9"/>
    <w:rsid w:val="00CD34B5"/>
    <w:rsid w:val="00CD39F9"/>
    <w:rsid w:val="00CD3C2F"/>
    <w:rsid w:val="00CD44B7"/>
    <w:rsid w:val="00CD56E6"/>
    <w:rsid w:val="00CD5AC3"/>
    <w:rsid w:val="00CD6548"/>
    <w:rsid w:val="00CE008E"/>
    <w:rsid w:val="00CE04EF"/>
    <w:rsid w:val="00CE0BA6"/>
    <w:rsid w:val="00CE0BD4"/>
    <w:rsid w:val="00CE0F22"/>
    <w:rsid w:val="00CE0F35"/>
    <w:rsid w:val="00CE0F5E"/>
    <w:rsid w:val="00CE1A01"/>
    <w:rsid w:val="00CE21A2"/>
    <w:rsid w:val="00CE313A"/>
    <w:rsid w:val="00CE3753"/>
    <w:rsid w:val="00CE3E59"/>
    <w:rsid w:val="00CE400D"/>
    <w:rsid w:val="00CE4D19"/>
    <w:rsid w:val="00CE5A46"/>
    <w:rsid w:val="00CE61FB"/>
    <w:rsid w:val="00CE638E"/>
    <w:rsid w:val="00CE6ABB"/>
    <w:rsid w:val="00CF0339"/>
    <w:rsid w:val="00CF03B3"/>
    <w:rsid w:val="00CF15C7"/>
    <w:rsid w:val="00CF1F65"/>
    <w:rsid w:val="00CF2357"/>
    <w:rsid w:val="00CF24BC"/>
    <w:rsid w:val="00CF32A9"/>
    <w:rsid w:val="00CF3786"/>
    <w:rsid w:val="00CF397A"/>
    <w:rsid w:val="00CF4346"/>
    <w:rsid w:val="00CF56BC"/>
    <w:rsid w:val="00CF6024"/>
    <w:rsid w:val="00CF604A"/>
    <w:rsid w:val="00CF60B4"/>
    <w:rsid w:val="00CF614B"/>
    <w:rsid w:val="00CF6DF3"/>
    <w:rsid w:val="00CF7719"/>
    <w:rsid w:val="00CF7A4A"/>
    <w:rsid w:val="00D0053D"/>
    <w:rsid w:val="00D0056E"/>
    <w:rsid w:val="00D00663"/>
    <w:rsid w:val="00D00686"/>
    <w:rsid w:val="00D0208D"/>
    <w:rsid w:val="00D02C53"/>
    <w:rsid w:val="00D059BA"/>
    <w:rsid w:val="00D05F29"/>
    <w:rsid w:val="00D06060"/>
    <w:rsid w:val="00D06217"/>
    <w:rsid w:val="00D06783"/>
    <w:rsid w:val="00D073A2"/>
    <w:rsid w:val="00D07EE7"/>
    <w:rsid w:val="00D07F85"/>
    <w:rsid w:val="00D10044"/>
    <w:rsid w:val="00D10879"/>
    <w:rsid w:val="00D116EA"/>
    <w:rsid w:val="00D120A3"/>
    <w:rsid w:val="00D122FA"/>
    <w:rsid w:val="00D12600"/>
    <w:rsid w:val="00D12A15"/>
    <w:rsid w:val="00D134DF"/>
    <w:rsid w:val="00D14841"/>
    <w:rsid w:val="00D14CB4"/>
    <w:rsid w:val="00D15480"/>
    <w:rsid w:val="00D16526"/>
    <w:rsid w:val="00D17007"/>
    <w:rsid w:val="00D2027D"/>
    <w:rsid w:val="00D2150F"/>
    <w:rsid w:val="00D217C5"/>
    <w:rsid w:val="00D21802"/>
    <w:rsid w:val="00D21CEF"/>
    <w:rsid w:val="00D22CE3"/>
    <w:rsid w:val="00D230CE"/>
    <w:rsid w:val="00D237B8"/>
    <w:rsid w:val="00D2390D"/>
    <w:rsid w:val="00D23BE9"/>
    <w:rsid w:val="00D23DFA"/>
    <w:rsid w:val="00D2403B"/>
    <w:rsid w:val="00D25056"/>
    <w:rsid w:val="00D256E0"/>
    <w:rsid w:val="00D2782D"/>
    <w:rsid w:val="00D30AAE"/>
    <w:rsid w:val="00D31104"/>
    <w:rsid w:val="00D31356"/>
    <w:rsid w:val="00D3168B"/>
    <w:rsid w:val="00D31B92"/>
    <w:rsid w:val="00D31BFA"/>
    <w:rsid w:val="00D31C5C"/>
    <w:rsid w:val="00D31D62"/>
    <w:rsid w:val="00D330BA"/>
    <w:rsid w:val="00D330D5"/>
    <w:rsid w:val="00D369D3"/>
    <w:rsid w:val="00D373DF"/>
    <w:rsid w:val="00D37427"/>
    <w:rsid w:val="00D37606"/>
    <w:rsid w:val="00D37714"/>
    <w:rsid w:val="00D406E1"/>
    <w:rsid w:val="00D40BAA"/>
    <w:rsid w:val="00D40F8B"/>
    <w:rsid w:val="00D41526"/>
    <w:rsid w:val="00D420DA"/>
    <w:rsid w:val="00D42B78"/>
    <w:rsid w:val="00D430AF"/>
    <w:rsid w:val="00D45182"/>
    <w:rsid w:val="00D461DF"/>
    <w:rsid w:val="00D4719E"/>
    <w:rsid w:val="00D503F4"/>
    <w:rsid w:val="00D50CCE"/>
    <w:rsid w:val="00D50E4B"/>
    <w:rsid w:val="00D51FE9"/>
    <w:rsid w:val="00D5393E"/>
    <w:rsid w:val="00D5465B"/>
    <w:rsid w:val="00D54CC9"/>
    <w:rsid w:val="00D55195"/>
    <w:rsid w:val="00D6021C"/>
    <w:rsid w:val="00D60A7B"/>
    <w:rsid w:val="00D60DD3"/>
    <w:rsid w:val="00D61A46"/>
    <w:rsid w:val="00D638A4"/>
    <w:rsid w:val="00D63913"/>
    <w:rsid w:val="00D65516"/>
    <w:rsid w:val="00D665DC"/>
    <w:rsid w:val="00D67EC3"/>
    <w:rsid w:val="00D70AB0"/>
    <w:rsid w:val="00D71561"/>
    <w:rsid w:val="00D71BE3"/>
    <w:rsid w:val="00D73A70"/>
    <w:rsid w:val="00D75B81"/>
    <w:rsid w:val="00D75CB7"/>
    <w:rsid w:val="00D7626C"/>
    <w:rsid w:val="00D766E7"/>
    <w:rsid w:val="00D776DD"/>
    <w:rsid w:val="00D80009"/>
    <w:rsid w:val="00D808EB"/>
    <w:rsid w:val="00D82671"/>
    <w:rsid w:val="00D82914"/>
    <w:rsid w:val="00D8361B"/>
    <w:rsid w:val="00D83875"/>
    <w:rsid w:val="00D839C7"/>
    <w:rsid w:val="00D84F6E"/>
    <w:rsid w:val="00D852CB"/>
    <w:rsid w:val="00D856C3"/>
    <w:rsid w:val="00D86C70"/>
    <w:rsid w:val="00D90E2F"/>
    <w:rsid w:val="00D91910"/>
    <w:rsid w:val="00D921F1"/>
    <w:rsid w:val="00D9224F"/>
    <w:rsid w:val="00D9286A"/>
    <w:rsid w:val="00D92DC9"/>
    <w:rsid w:val="00D935F7"/>
    <w:rsid w:val="00D9372F"/>
    <w:rsid w:val="00D943B5"/>
    <w:rsid w:val="00D94704"/>
    <w:rsid w:val="00D949DE"/>
    <w:rsid w:val="00D94BBD"/>
    <w:rsid w:val="00D95ACD"/>
    <w:rsid w:val="00D96476"/>
    <w:rsid w:val="00D96A87"/>
    <w:rsid w:val="00D97D23"/>
    <w:rsid w:val="00DA1404"/>
    <w:rsid w:val="00DA1522"/>
    <w:rsid w:val="00DA1A3C"/>
    <w:rsid w:val="00DA1AB6"/>
    <w:rsid w:val="00DA1CA3"/>
    <w:rsid w:val="00DA1D2E"/>
    <w:rsid w:val="00DA2B2E"/>
    <w:rsid w:val="00DA2F18"/>
    <w:rsid w:val="00DA2F71"/>
    <w:rsid w:val="00DA528C"/>
    <w:rsid w:val="00DA55BE"/>
    <w:rsid w:val="00DA5874"/>
    <w:rsid w:val="00DA5F0D"/>
    <w:rsid w:val="00DA6613"/>
    <w:rsid w:val="00DA6A59"/>
    <w:rsid w:val="00DA71BF"/>
    <w:rsid w:val="00DA7DAB"/>
    <w:rsid w:val="00DA7FC7"/>
    <w:rsid w:val="00DB075A"/>
    <w:rsid w:val="00DB125C"/>
    <w:rsid w:val="00DB134A"/>
    <w:rsid w:val="00DB19F5"/>
    <w:rsid w:val="00DB21F0"/>
    <w:rsid w:val="00DB290B"/>
    <w:rsid w:val="00DB2F20"/>
    <w:rsid w:val="00DB39FF"/>
    <w:rsid w:val="00DB41D2"/>
    <w:rsid w:val="00DB43F6"/>
    <w:rsid w:val="00DB48A2"/>
    <w:rsid w:val="00DB4ABD"/>
    <w:rsid w:val="00DB5142"/>
    <w:rsid w:val="00DB6129"/>
    <w:rsid w:val="00DB6638"/>
    <w:rsid w:val="00DB6950"/>
    <w:rsid w:val="00DB6FBB"/>
    <w:rsid w:val="00DB7027"/>
    <w:rsid w:val="00DC0D2E"/>
    <w:rsid w:val="00DC0EAE"/>
    <w:rsid w:val="00DC254E"/>
    <w:rsid w:val="00DC3463"/>
    <w:rsid w:val="00DC43CD"/>
    <w:rsid w:val="00DC4C41"/>
    <w:rsid w:val="00DC5024"/>
    <w:rsid w:val="00DC5297"/>
    <w:rsid w:val="00DC6776"/>
    <w:rsid w:val="00DC772F"/>
    <w:rsid w:val="00DD03AA"/>
    <w:rsid w:val="00DD0B47"/>
    <w:rsid w:val="00DD0B5D"/>
    <w:rsid w:val="00DD1155"/>
    <w:rsid w:val="00DD1484"/>
    <w:rsid w:val="00DD21A7"/>
    <w:rsid w:val="00DD2EB9"/>
    <w:rsid w:val="00DD4A2E"/>
    <w:rsid w:val="00DD4E03"/>
    <w:rsid w:val="00DD5D8A"/>
    <w:rsid w:val="00DD5F69"/>
    <w:rsid w:val="00DD699D"/>
    <w:rsid w:val="00DD6DB0"/>
    <w:rsid w:val="00DE16EF"/>
    <w:rsid w:val="00DE1D98"/>
    <w:rsid w:val="00DE1F63"/>
    <w:rsid w:val="00DE4101"/>
    <w:rsid w:val="00DE453D"/>
    <w:rsid w:val="00DE5181"/>
    <w:rsid w:val="00DE5609"/>
    <w:rsid w:val="00DE5787"/>
    <w:rsid w:val="00DE58A6"/>
    <w:rsid w:val="00DE643A"/>
    <w:rsid w:val="00DE7663"/>
    <w:rsid w:val="00DF0CCC"/>
    <w:rsid w:val="00DF115D"/>
    <w:rsid w:val="00DF1BEE"/>
    <w:rsid w:val="00DF1CAC"/>
    <w:rsid w:val="00DF1EF2"/>
    <w:rsid w:val="00DF22D5"/>
    <w:rsid w:val="00DF2538"/>
    <w:rsid w:val="00DF5700"/>
    <w:rsid w:val="00DF77FC"/>
    <w:rsid w:val="00E00E84"/>
    <w:rsid w:val="00E00FD2"/>
    <w:rsid w:val="00E01341"/>
    <w:rsid w:val="00E01807"/>
    <w:rsid w:val="00E0228B"/>
    <w:rsid w:val="00E02899"/>
    <w:rsid w:val="00E029A3"/>
    <w:rsid w:val="00E02A76"/>
    <w:rsid w:val="00E04510"/>
    <w:rsid w:val="00E04E6C"/>
    <w:rsid w:val="00E05130"/>
    <w:rsid w:val="00E057A6"/>
    <w:rsid w:val="00E06994"/>
    <w:rsid w:val="00E07665"/>
    <w:rsid w:val="00E07A8D"/>
    <w:rsid w:val="00E07DA5"/>
    <w:rsid w:val="00E10031"/>
    <w:rsid w:val="00E105E5"/>
    <w:rsid w:val="00E110D0"/>
    <w:rsid w:val="00E1123A"/>
    <w:rsid w:val="00E1287D"/>
    <w:rsid w:val="00E12B46"/>
    <w:rsid w:val="00E13C38"/>
    <w:rsid w:val="00E14835"/>
    <w:rsid w:val="00E15674"/>
    <w:rsid w:val="00E15B82"/>
    <w:rsid w:val="00E15F1E"/>
    <w:rsid w:val="00E16879"/>
    <w:rsid w:val="00E16921"/>
    <w:rsid w:val="00E17A9A"/>
    <w:rsid w:val="00E20999"/>
    <w:rsid w:val="00E210C2"/>
    <w:rsid w:val="00E21BFE"/>
    <w:rsid w:val="00E2373E"/>
    <w:rsid w:val="00E24158"/>
    <w:rsid w:val="00E24690"/>
    <w:rsid w:val="00E2485D"/>
    <w:rsid w:val="00E24AB5"/>
    <w:rsid w:val="00E24B5C"/>
    <w:rsid w:val="00E24E0D"/>
    <w:rsid w:val="00E2507D"/>
    <w:rsid w:val="00E2669F"/>
    <w:rsid w:val="00E26DCB"/>
    <w:rsid w:val="00E27AC3"/>
    <w:rsid w:val="00E31325"/>
    <w:rsid w:val="00E31F0A"/>
    <w:rsid w:val="00E32374"/>
    <w:rsid w:val="00E32C5E"/>
    <w:rsid w:val="00E331FF"/>
    <w:rsid w:val="00E336B7"/>
    <w:rsid w:val="00E337C6"/>
    <w:rsid w:val="00E33C7E"/>
    <w:rsid w:val="00E341D9"/>
    <w:rsid w:val="00E34BF8"/>
    <w:rsid w:val="00E34C22"/>
    <w:rsid w:val="00E364F2"/>
    <w:rsid w:val="00E36D50"/>
    <w:rsid w:val="00E37DC8"/>
    <w:rsid w:val="00E40186"/>
    <w:rsid w:val="00E42707"/>
    <w:rsid w:val="00E42F21"/>
    <w:rsid w:val="00E4387E"/>
    <w:rsid w:val="00E43DC3"/>
    <w:rsid w:val="00E43DEC"/>
    <w:rsid w:val="00E44DFF"/>
    <w:rsid w:val="00E4548D"/>
    <w:rsid w:val="00E4587C"/>
    <w:rsid w:val="00E461AE"/>
    <w:rsid w:val="00E46A84"/>
    <w:rsid w:val="00E46E28"/>
    <w:rsid w:val="00E47461"/>
    <w:rsid w:val="00E477B4"/>
    <w:rsid w:val="00E504D5"/>
    <w:rsid w:val="00E50DE0"/>
    <w:rsid w:val="00E52357"/>
    <w:rsid w:val="00E53672"/>
    <w:rsid w:val="00E542C1"/>
    <w:rsid w:val="00E56311"/>
    <w:rsid w:val="00E567C2"/>
    <w:rsid w:val="00E60446"/>
    <w:rsid w:val="00E616E1"/>
    <w:rsid w:val="00E62084"/>
    <w:rsid w:val="00E6249E"/>
    <w:rsid w:val="00E6503F"/>
    <w:rsid w:val="00E65518"/>
    <w:rsid w:val="00E6560A"/>
    <w:rsid w:val="00E65E4D"/>
    <w:rsid w:val="00E66F21"/>
    <w:rsid w:val="00E67C82"/>
    <w:rsid w:val="00E67F10"/>
    <w:rsid w:val="00E70877"/>
    <w:rsid w:val="00E715F1"/>
    <w:rsid w:val="00E7175A"/>
    <w:rsid w:val="00E729EB"/>
    <w:rsid w:val="00E72E0A"/>
    <w:rsid w:val="00E73089"/>
    <w:rsid w:val="00E73874"/>
    <w:rsid w:val="00E73BE3"/>
    <w:rsid w:val="00E74689"/>
    <w:rsid w:val="00E7471E"/>
    <w:rsid w:val="00E75C95"/>
    <w:rsid w:val="00E7610C"/>
    <w:rsid w:val="00E767F2"/>
    <w:rsid w:val="00E8013D"/>
    <w:rsid w:val="00E805C4"/>
    <w:rsid w:val="00E80716"/>
    <w:rsid w:val="00E8088D"/>
    <w:rsid w:val="00E80939"/>
    <w:rsid w:val="00E82708"/>
    <w:rsid w:val="00E82DFF"/>
    <w:rsid w:val="00E83CDF"/>
    <w:rsid w:val="00E84BB8"/>
    <w:rsid w:val="00E84E73"/>
    <w:rsid w:val="00E84EDD"/>
    <w:rsid w:val="00E84F4E"/>
    <w:rsid w:val="00E8530D"/>
    <w:rsid w:val="00E85379"/>
    <w:rsid w:val="00E8542B"/>
    <w:rsid w:val="00E85A43"/>
    <w:rsid w:val="00E86578"/>
    <w:rsid w:val="00E873B0"/>
    <w:rsid w:val="00E9325D"/>
    <w:rsid w:val="00E95A4A"/>
    <w:rsid w:val="00E96D7A"/>
    <w:rsid w:val="00E96EF5"/>
    <w:rsid w:val="00E9756A"/>
    <w:rsid w:val="00E97F05"/>
    <w:rsid w:val="00EA08B9"/>
    <w:rsid w:val="00EA106C"/>
    <w:rsid w:val="00EA14CC"/>
    <w:rsid w:val="00EA157C"/>
    <w:rsid w:val="00EA243D"/>
    <w:rsid w:val="00EA2AB1"/>
    <w:rsid w:val="00EA326C"/>
    <w:rsid w:val="00EA3320"/>
    <w:rsid w:val="00EA4F1F"/>
    <w:rsid w:val="00EA53C4"/>
    <w:rsid w:val="00EA5627"/>
    <w:rsid w:val="00EA5D5C"/>
    <w:rsid w:val="00EA6162"/>
    <w:rsid w:val="00EA630D"/>
    <w:rsid w:val="00EA65B5"/>
    <w:rsid w:val="00EA686D"/>
    <w:rsid w:val="00EA6880"/>
    <w:rsid w:val="00EA6A99"/>
    <w:rsid w:val="00EA7083"/>
    <w:rsid w:val="00EA7868"/>
    <w:rsid w:val="00EA7CA0"/>
    <w:rsid w:val="00EB1516"/>
    <w:rsid w:val="00EB2C5F"/>
    <w:rsid w:val="00EB4BA8"/>
    <w:rsid w:val="00EB5587"/>
    <w:rsid w:val="00EB5FF0"/>
    <w:rsid w:val="00EB60C4"/>
    <w:rsid w:val="00EB66CB"/>
    <w:rsid w:val="00EB7960"/>
    <w:rsid w:val="00EB7F93"/>
    <w:rsid w:val="00EC0264"/>
    <w:rsid w:val="00EC0C64"/>
    <w:rsid w:val="00EC254E"/>
    <w:rsid w:val="00EC2DDB"/>
    <w:rsid w:val="00EC3627"/>
    <w:rsid w:val="00EC3D88"/>
    <w:rsid w:val="00EC4782"/>
    <w:rsid w:val="00EC47CA"/>
    <w:rsid w:val="00EC511E"/>
    <w:rsid w:val="00EC6AE2"/>
    <w:rsid w:val="00ED0B8F"/>
    <w:rsid w:val="00ED1431"/>
    <w:rsid w:val="00ED24A3"/>
    <w:rsid w:val="00ED2EE1"/>
    <w:rsid w:val="00ED453C"/>
    <w:rsid w:val="00ED461C"/>
    <w:rsid w:val="00ED4B09"/>
    <w:rsid w:val="00ED6E66"/>
    <w:rsid w:val="00ED77B4"/>
    <w:rsid w:val="00EE0873"/>
    <w:rsid w:val="00EE0F15"/>
    <w:rsid w:val="00EE19DF"/>
    <w:rsid w:val="00EE1CFC"/>
    <w:rsid w:val="00EE1E10"/>
    <w:rsid w:val="00EE2553"/>
    <w:rsid w:val="00EE3728"/>
    <w:rsid w:val="00EE4005"/>
    <w:rsid w:val="00EE46D9"/>
    <w:rsid w:val="00EE4FDB"/>
    <w:rsid w:val="00EE536A"/>
    <w:rsid w:val="00EE6B6C"/>
    <w:rsid w:val="00EE6D68"/>
    <w:rsid w:val="00EE6EDC"/>
    <w:rsid w:val="00EE7349"/>
    <w:rsid w:val="00EE7DCD"/>
    <w:rsid w:val="00EF0FB1"/>
    <w:rsid w:val="00EF1752"/>
    <w:rsid w:val="00EF23BB"/>
    <w:rsid w:val="00EF2446"/>
    <w:rsid w:val="00EF4DA0"/>
    <w:rsid w:val="00EF4DB7"/>
    <w:rsid w:val="00EF583A"/>
    <w:rsid w:val="00EF7227"/>
    <w:rsid w:val="00EF747A"/>
    <w:rsid w:val="00EF7FB1"/>
    <w:rsid w:val="00F018AA"/>
    <w:rsid w:val="00F01AC2"/>
    <w:rsid w:val="00F01B43"/>
    <w:rsid w:val="00F01D65"/>
    <w:rsid w:val="00F0275D"/>
    <w:rsid w:val="00F0432C"/>
    <w:rsid w:val="00F060AB"/>
    <w:rsid w:val="00F06428"/>
    <w:rsid w:val="00F075F4"/>
    <w:rsid w:val="00F07929"/>
    <w:rsid w:val="00F07DCB"/>
    <w:rsid w:val="00F108FA"/>
    <w:rsid w:val="00F10B4E"/>
    <w:rsid w:val="00F112F0"/>
    <w:rsid w:val="00F117B5"/>
    <w:rsid w:val="00F126E9"/>
    <w:rsid w:val="00F12FDB"/>
    <w:rsid w:val="00F15006"/>
    <w:rsid w:val="00F150D0"/>
    <w:rsid w:val="00F15615"/>
    <w:rsid w:val="00F15B17"/>
    <w:rsid w:val="00F17A73"/>
    <w:rsid w:val="00F17FA5"/>
    <w:rsid w:val="00F20350"/>
    <w:rsid w:val="00F208F8"/>
    <w:rsid w:val="00F20F7A"/>
    <w:rsid w:val="00F22C1C"/>
    <w:rsid w:val="00F23A8F"/>
    <w:rsid w:val="00F244DD"/>
    <w:rsid w:val="00F248DE"/>
    <w:rsid w:val="00F2540B"/>
    <w:rsid w:val="00F2563D"/>
    <w:rsid w:val="00F2670A"/>
    <w:rsid w:val="00F30611"/>
    <w:rsid w:val="00F30AC1"/>
    <w:rsid w:val="00F317C8"/>
    <w:rsid w:val="00F318AE"/>
    <w:rsid w:val="00F31A52"/>
    <w:rsid w:val="00F335D3"/>
    <w:rsid w:val="00F337B6"/>
    <w:rsid w:val="00F33B7F"/>
    <w:rsid w:val="00F342EB"/>
    <w:rsid w:val="00F36F48"/>
    <w:rsid w:val="00F37F7C"/>
    <w:rsid w:val="00F42777"/>
    <w:rsid w:val="00F42D48"/>
    <w:rsid w:val="00F42E4B"/>
    <w:rsid w:val="00F43146"/>
    <w:rsid w:val="00F447CA"/>
    <w:rsid w:val="00F44FE6"/>
    <w:rsid w:val="00F45992"/>
    <w:rsid w:val="00F45DE6"/>
    <w:rsid w:val="00F461A6"/>
    <w:rsid w:val="00F46705"/>
    <w:rsid w:val="00F47818"/>
    <w:rsid w:val="00F47967"/>
    <w:rsid w:val="00F47A57"/>
    <w:rsid w:val="00F47CF3"/>
    <w:rsid w:val="00F50439"/>
    <w:rsid w:val="00F50AE5"/>
    <w:rsid w:val="00F51162"/>
    <w:rsid w:val="00F514B5"/>
    <w:rsid w:val="00F51A1C"/>
    <w:rsid w:val="00F51C03"/>
    <w:rsid w:val="00F5271F"/>
    <w:rsid w:val="00F5293E"/>
    <w:rsid w:val="00F52CA5"/>
    <w:rsid w:val="00F52CBC"/>
    <w:rsid w:val="00F537E0"/>
    <w:rsid w:val="00F542F5"/>
    <w:rsid w:val="00F546D4"/>
    <w:rsid w:val="00F55B02"/>
    <w:rsid w:val="00F55F00"/>
    <w:rsid w:val="00F56132"/>
    <w:rsid w:val="00F62384"/>
    <w:rsid w:val="00F63368"/>
    <w:rsid w:val="00F6376D"/>
    <w:rsid w:val="00F637B8"/>
    <w:rsid w:val="00F6447E"/>
    <w:rsid w:val="00F64659"/>
    <w:rsid w:val="00F64C56"/>
    <w:rsid w:val="00F667EE"/>
    <w:rsid w:val="00F67737"/>
    <w:rsid w:val="00F679DC"/>
    <w:rsid w:val="00F72DAB"/>
    <w:rsid w:val="00F73889"/>
    <w:rsid w:val="00F73C45"/>
    <w:rsid w:val="00F74053"/>
    <w:rsid w:val="00F76931"/>
    <w:rsid w:val="00F80155"/>
    <w:rsid w:val="00F801A1"/>
    <w:rsid w:val="00F80578"/>
    <w:rsid w:val="00F820D6"/>
    <w:rsid w:val="00F82665"/>
    <w:rsid w:val="00F82BEB"/>
    <w:rsid w:val="00F82E88"/>
    <w:rsid w:val="00F83293"/>
    <w:rsid w:val="00F839FF"/>
    <w:rsid w:val="00F84BB8"/>
    <w:rsid w:val="00F850FE"/>
    <w:rsid w:val="00F8550B"/>
    <w:rsid w:val="00F85768"/>
    <w:rsid w:val="00F86B93"/>
    <w:rsid w:val="00F86DA2"/>
    <w:rsid w:val="00F86FD1"/>
    <w:rsid w:val="00F87FE5"/>
    <w:rsid w:val="00F90D60"/>
    <w:rsid w:val="00F91570"/>
    <w:rsid w:val="00F91CA3"/>
    <w:rsid w:val="00F92460"/>
    <w:rsid w:val="00F925E5"/>
    <w:rsid w:val="00F92BC5"/>
    <w:rsid w:val="00F931A0"/>
    <w:rsid w:val="00F938DD"/>
    <w:rsid w:val="00F9415B"/>
    <w:rsid w:val="00F941E0"/>
    <w:rsid w:val="00F94414"/>
    <w:rsid w:val="00F9475C"/>
    <w:rsid w:val="00F94F60"/>
    <w:rsid w:val="00F959CA"/>
    <w:rsid w:val="00F95DB8"/>
    <w:rsid w:val="00F96D58"/>
    <w:rsid w:val="00F972E5"/>
    <w:rsid w:val="00F97EC9"/>
    <w:rsid w:val="00FA0306"/>
    <w:rsid w:val="00FA0496"/>
    <w:rsid w:val="00FA08A5"/>
    <w:rsid w:val="00FA16B0"/>
    <w:rsid w:val="00FA1714"/>
    <w:rsid w:val="00FA183C"/>
    <w:rsid w:val="00FA24FE"/>
    <w:rsid w:val="00FA30D1"/>
    <w:rsid w:val="00FA353B"/>
    <w:rsid w:val="00FA3587"/>
    <w:rsid w:val="00FA3E1C"/>
    <w:rsid w:val="00FA425E"/>
    <w:rsid w:val="00FA461F"/>
    <w:rsid w:val="00FA65E8"/>
    <w:rsid w:val="00FA6B66"/>
    <w:rsid w:val="00FA6D06"/>
    <w:rsid w:val="00FA6ED7"/>
    <w:rsid w:val="00FA7180"/>
    <w:rsid w:val="00FA74FC"/>
    <w:rsid w:val="00FA78B1"/>
    <w:rsid w:val="00FA7A49"/>
    <w:rsid w:val="00FA7B7A"/>
    <w:rsid w:val="00FA7F0C"/>
    <w:rsid w:val="00FB012F"/>
    <w:rsid w:val="00FB1BB7"/>
    <w:rsid w:val="00FB1C48"/>
    <w:rsid w:val="00FB1FFB"/>
    <w:rsid w:val="00FB216A"/>
    <w:rsid w:val="00FB2C61"/>
    <w:rsid w:val="00FB2D9A"/>
    <w:rsid w:val="00FB346B"/>
    <w:rsid w:val="00FB3B37"/>
    <w:rsid w:val="00FB4070"/>
    <w:rsid w:val="00FB5667"/>
    <w:rsid w:val="00FB5925"/>
    <w:rsid w:val="00FB59B1"/>
    <w:rsid w:val="00FB5C46"/>
    <w:rsid w:val="00FB6361"/>
    <w:rsid w:val="00FB6DD1"/>
    <w:rsid w:val="00FB7572"/>
    <w:rsid w:val="00FC0D68"/>
    <w:rsid w:val="00FC191D"/>
    <w:rsid w:val="00FC1AF5"/>
    <w:rsid w:val="00FC1C49"/>
    <w:rsid w:val="00FC29D4"/>
    <w:rsid w:val="00FC3A8E"/>
    <w:rsid w:val="00FC3CC6"/>
    <w:rsid w:val="00FC3F62"/>
    <w:rsid w:val="00FC3FD5"/>
    <w:rsid w:val="00FC52AE"/>
    <w:rsid w:val="00FC5D31"/>
    <w:rsid w:val="00FC63E4"/>
    <w:rsid w:val="00FC6525"/>
    <w:rsid w:val="00FC69D6"/>
    <w:rsid w:val="00FC6BE5"/>
    <w:rsid w:val="00FC7062"/>
    <w:rsid w:val="00FC78EC"/>
    <w:rsid w:val="00FC79AD"/>
    <w:rsid w:val="00FD054E"/>
    <w:rsid w:val="00FD0565"/>
    <w:rsid w:val="00FD057A"/>
    <w:rsid w:val="00FD0FD5"/>
    <w:rsid w:val="00FD1E9E"/>
    <w:rsid w:val="00FD23B4"/>
    <w:rsid w:val="00FD28E9"/>
    <w:rsid w:val="00FD3637"/>
    <w:rsid w:val="00FD4278"/>
    <w:rsid w:val="00FD452E"/>
    <w:rsid w:val="00FD4655"/>
    <w:rsid w:val="00FD4964"/>
    <w:rsid w:val="00FD4E40"/>
    <w:rsid w:val="00FD4FD7"/>
    <w:rsid w:val="00FD5964"/>
    <w:rsid w:val="00FD601C"/>
    <w:rsid w:val="00FD6274"/>
    <w:rsid w:val="00FD66E3"/>
    <w:rsid w:val="00FD7B6A"/>
    <w:rsid w:val="00FE1121"/>
    <w:rsid w:val="00FE1228"/>
    <w:rsid w:val="00FE18FA"/>
    <w:rsid w:val="00FE1B4A"/>
    <w:rsid w:val="00FE1F16"/>
    <w:rsid w:val="00FE22BF"/>
    <w:rsid w:val="00FE2B67"/>
    <w:rsid w:val="00FE33ED"/>
    <w:rsid w:val="00FE3423"/>
    <w:rsid w:val="00FE3550"/>
    <w:rsid w:val="00FE3B9D"/>
    <w:rsid w:val="00FE3C2A"/>
    <w:rsid w:val="00FE41C8"/>
    <w:rsid w:val="00FE46FE"/>
    <w:rsid w:val="00FE59E7"/>
    <w:rsid w:val="00FE5C06"/>
    <w:rsid w:val="00FE6F5C"/>
    <w:rsid w:val="00FF0038"/>
    <w:rsid w:val="00FF0746"/>
    <w:rsid w:val="00FF18A7"/>
    <w:rsid w:val="00FF290E"/>
    <w:rsid w:val="00FF2B3B"/>
    <w:rsid w:val="00FF2CC3"/>
    <w:rsid w:val="00FF394E"/>
    <w:rsid w:val="00FF3CB7"/>
    <w:rsid w:val="00FF3E9C"/>
    <w:rsid w:val="00FF45F8"/>
    <w:rsid w:val="00FF466E"/>
    <w:rsid w:val="00FF4AE6"/>
    <w:rsid w:val="00FF53DF"/>
    <w:rsid w:val="00FF5C3D"/>
    <w:rsid w:val="00FF78DD"/>
    <w:rsid w:val="00FF7D94"/>
    <w:rsid w:val="00FF7EBA"/>
    <w:rsid w:val="00FF7FC6"/>
    <w:rsid w:val="0119677B"/>
    <w:rsid w:val="01EF572E"/>
    <w:rsid w:val="07CF228A"/>
    <w:rsid w:val="07E37AE3"/>
    <w:rsid w:val="08143682"/>
    <w:rsid w:val="08252F78"/>
    <w:rsid w:val="09077801"/>
    <w:rsid w:val="0921224E"/>
    <w:rsid w:val="0934067B"/>
    <w:rsid w:val="09464465"/>
    <w:rsid w:val="0CE1403E"/>
    <w:rsid w:val="0E0802A4"/>
    <w:rsid w:val="119500A0"/>
    <w:rsid w:val="129723B8"/>
    <w:rsid w:val="13363E1E"/>
    <w:rsid w:val="13A43F3C"/>
    <w:rsid w:val="1515688A"/>
    <w:rsid w:val="159B19FD"/>
    <w:rsid w:val="15DD3DC4"/>
    <w:rsid w:val="162A4334"/>
    <w:rsid w:val="167B3BB4"/>
    <w:rsid w:val="16921052"/>
    <w:rsid w:val="1796247C"/>
    <w:rsid w:val="19063631"/>
    <w:rsid w:val="198D5B01"/>
    <w:rsid w:val="1C66263B"/>
    <w:rsid w:val="1CF30371"/>
    <w:rsid w:val="1D547061"/>
    <w:rsid w:val="1F9E5631"/>
    <w:rsid w:val="22394A78"/>
    <w:rsid w:val="227D2BB6"/>
    <w:rsid w:val="251F5109"/>
    <w:rsid w:val="266A445D"/>
    <w:rsid w:val="26D46B1D"/>
    <w:rsid w:val="27D058D0"/>
    <w:rsid w:val="27EC60E8"/>
    <w:rsid w:val="2802590C"/>
    <w:rsid w:val="28CA467C"/>
    <w:rsid w:val="2B275110"/>
    <w:rsid w:val="2BDE3F9A"/>
    <w:rsid w:val="2C7651E2"/>
    <w:rsid w:val="2CA3146B"/>
    <w:rsid w:val="2F1239AA"/>
    <w:rsid w:val="30534F57"/>
    <w:rsid w:val="328C2646"/>
    <w:rsid w:val="34607C42"/>
    <w:rsid w:val="36457F4F"/>
    <w:rsid w:val="36BB3F9B"/>
    <w:rsid w:val="383548E6"/>
    <w:rsid w:val="39500C3F"/>
    <w:rsid w:val="3C21415B"/>
    <w:rsid w:val="3DDA2813"/>
    <w:rsid w:val="40BC26A4"/>
    <w:rsid w:val="430F7403"/>
    <w:rsid w:val="45036AF3"/>
    <w:rsid w:val="47655843"/>
    <w:rsid w:val="48554FE4"/>
    <w:rsid w:val="492434DC"/>
    <w:rsid w:val="49433A67"/>
    <w:rsid w:val="4C433C79"/>
    <w:rsid w:val="4EBE1EBD"/>
    <w:rsid w:val="50593A6B"/>
    <w:rsid w:val="50851AA7"/>
    <w:rsid w:val="54F9581D"/>
    <w:rsid w:val="567746F7"/>
    <w:rsid w:val="571A343F"/>
    <w:rsid w:val="58E862D4"/>
    <w:rsid w:val="58F664F7"/>
    <w:rsid w:val="5B4041A6"/>
    <w:rsid w:val="5D252EC0"/>
    <w:rsid w:val="5EF3211D"/>
    <w:rsid w:val="60017D97"/>
    <w:rsid w:val="60514679"/>
    <w:rsid w:val="61500EBB"/>
    <w:rsid w:val="64201EC1"/>
    <w:rsid w:val="64CD637E"/>
    <w:rsid w:val="64EC782B"/>
    <w:rsid w:val="66A001EE"/>
    <w:rsid w:val="66FE6C5F"/>
    <w:rsid w:val="67AC2BC3"/>
    <w:rsid w:val="68C1269E"/>
    <w:rsid w:val="6A941A4E"/>
    <w:rsid w:val="6C0027DF"/>
    <w:rsid w:val="6DE54739"/>
    <w:rsid w:val="6F6E34E9"/>
    <w:rsid w:val="6F8A5598"/>
    <w:rsid w:val="71991183"/>
    <w:rsid w:val="71E24E8F"/>
    <w:rsid w:val="75510906"/>
    <w:rsid w:val="78AB456C"/>
    <w:rsid w:val="797B41A3"/>
    <w:rsid w:val="79DD6C0C"/>
    <w:rsid w:val="7A311427"/>
    <w:rsid w:val="7AAA2F92"/>
    <w:rsid w:val="7B917078"/>
    <w:rsid w:val="7BFC15CB"/>
    <w:rsid w:val="7C39281F"/>
    <w:rsid w:val="7CA915F3"/>
    <w:rsid w:val="7D90481F"/>
    <w:rsid w:val="7E865AC4"/>
    <w:rsid w:val="7EE527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qFormat="1" w:unhideWhenUsed="0" w:uiPriority="39"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qFormat="1"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200" w:firstLineChars="200"/>
      <w:jc w:val="both"/>
    </w:pPr>
    <w:rPr>
      <w:rFonts w:ascii="Times New Roman" w:hAnsi="Times New Roman" w:eastAsia="仿宋_GB2312" w:cstheme="minorBidi"/>
      <w:kern w:val="2"/>
      <w:sz w:val="32"/>
      <w:szCs w:val="24"/>
      <w:lang w:val="en-US" w:eastAsia="zh-CN" w:bidi="ar-SA"/>
    </w:rPr>
  </w:style>
  <w:style w:type="paragraph" w:styleId="2">
    <w:name w:val="heading 1"/>
    <w:basedOn w:val="1"/>
    <w:next w:val="1"/>
    <w:qFormat/>
    <w:uiPriority w:val="0"/>
    <w:pPr>
      <w:keepNext/>
      <w:keepLines/>
      <w:spacing w:before="50" w:beforeLines="50" w:after="50" w:afterLines="50"/>
      <w:ind w:firstLine="0" w:firstLineChars="0"/>
      <w:jc w:val="center"/>
      <w:outlineLvl w:val="0"/>
    </w:pPr>
    <w:rPr>
      <w:rFonts w:eastAsia="黑体"/>
      <w:b/>
      <w:kern w:val="44"/>
    </w:rPr>
  </w:style>
  <w:style w:type="paragraph" w:styleId="3">
    <w:name w:val="heading 2"/>
    <w:basedOn w:val="1"/>
    <w:next w:val="1"/>
    <w:link w:val="26"/>
    <w:unhideWhenUsed/>
    <w:qFormat/>
    <w:uiPriority w:val="0"/>
    <w:pPr>
      <w:keepNext/>
      <w:keepLines/>
      <w:spacing w:before="50" w:beforeLines="50" w:after="50" w:afterLines="50"/>
      <w:ind w:firstLine="0" w:firstLineChars="0"/>
      <w:jc w:val="center"/>
      <w:outlineLvl w:val="1"/>
    </w:pPr>
    <w:rPr>
      <w:rFonts w:eastAsia="楷体" w:asciiTheme="majorHAnsi" w:hAnsiTheme="majorHAnsi" w:cstheme="majorBidi"/>
      <w:b/>
      <w:bCs/>
      <w:szCs w:val="32"/>
    </w:rPr>
  </w:style>
  <w:style w:type="paragraph" w:styleId="4">
    <w:name w:val="heading 3"/>
    <w:basedOn w:val="1"/>
    <w:next w:val="1"/>
    <w:link w:val="27"/>
    <w:unhideWhenUsed/>
    <w:qFormat/>
    <w:uiPriority w:val="0"/>
    <w:pPr>
      <w:keepNext/>
      <w:keepLines/>
      <w:spacing w:before="50" w:beforeLines="50" w:after="50" w:afterLines="50"/>
      <w:ind w:firstLine="0" w:firstLineChars="0"/>
      <w:jc w:val="center"/>
      <w:outlineLvl w:val="2"/>
    </w:pPr>
    <w:rPr>
      <w:rFonts w:eastAsia="楷体"/>
      <w:b/>
      <w:bCs/>
      <w:szCs w:val="32"/>
    </w:rPr>
  </w:style>
  <w:style w:type="paragraph" w:styleId="5">
    <w:name w:val="heading 4"/>
    <w:basedOn w:val="1"/>
    <w:next w:val="1"/>
    <w:link w:val="29"/>
    <w:unhideWhenUsed/>
    <w:qFormat/>
    <w:uiPriority w:val="0"/>
    <w:pPr>
      <w:keepNext/>
      <w:keepLines/>
      <w:jc w:val="left"/>
      <w:outlineLvl w:val="3"/>
    </w:pPr>
    <w:rPr>
      <w:rFonts w:cstheme="majorBidi"/>
      <w:b/>
      <w:bCs/>
      <w:szCs w:val="28"/>
    </w:rPr>
  </w:style>
  <w:style w:type="character" w:default="1" w:styleId="17">
    <w:name w:val="Default Paragraph Font"/>
    <w:semiHidden/>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6">
    <w:name w:val="annotation text"/>
    <w:basedOn w:val="1"/>
    <w:link w:val="31"/>
    <w:qFormat/>
    <w:uiPriority w:val="99"/>
    <w:pPr>
      <w:jc w:val="left"/>
    </w:pPr>
  </w:style>
  <w:style w:type="paragraph" w:styleId="7">
    <w:name w:val="Body Text"/>
    <w:basedOn w:val="1"/>
    <w:link w:val="37"/>
    <w:qFormat/>
    <w:uiPriority w:val="0"/>
    <w:pPr>
      <w:widowControl/>
      <w:kinsoku w:val="0"/>
      <w:autoSpaceDE w:val="0"/>
      <w:autoSpaceDN w:val="0"/>
      <w:adjustRightInd w:val="0"/>
      <w:snapToGrid w:val="0"/>
      <w:spacing w:line="240" w:lineRule="auto"/>
      <w:ind w:firstLine="0" w:firstLineChars="0"/>
      <w:jc w:val="left"/>
      <w:textAlignment w:val="baseline"/>
    </w:pPr>
    <w:rPr>
      <w:rFonts w:ascii="Arial" w:hAnsi="Arial" w:eastAsia="Arial" w:cs="Arial"/>
      <w:snapToGrid w:val="0"/>
      <w:color w:val="000000"/>
      <w:kern w:val="0"/>
      <w:sz w:val="21"/>
      <w:szCs w:val="21"/>
      <w:lang w:eastAsia="en-US"/>
    </w:rPr>
  </w:style>
  <w:style w:type="paragraph" w:styleId="8">
    <w:name w:val="toc 3"/>
    <w:basedOn w:val="1"/>
    <w:next w:val="1"/>
    <w:autoRedefine/>
    <w:qFormat/>
    <w:uiPriority w:val="39"/>
    <w:pPr>
      <w:tabs>
        <w:tab w:val="right" w:leader="dot" w:pos="8296"/>
      </w:tabs>
      <w:spacing w:line="500" w:lineRule="exact"/>
      <w:ind w:firstLine="0" w:firstLineChars="0"/>
      <w:jc w:val="left"/>
    </w:pPr>
    <w:rPr>
      <w:rFonts w:eastAsia="宋体"/>
      <w:sz w:val="28"/>
    </w:rPr>
  </w:style>
  <w:style w:type="paragraph" w:styleId="9">
    <w:name w:val="Balloon Text"/>
    <w:basedOn w:val="1"/>
    <w:link w:val="33"/>
    <w:qFormat/>
    <w:uiPriority w:val="0"/>
    <w:pPr>
      <w:spacing w:line="240" w:lineRule="auto"/>
    </w:pPr>
    <w:rPr>
      <w:sz w:val="18"/>
      <w:szCs w:val="18"/>
    </w:rPr>
  </w:style>
  <w:style w:type="paragraph" w:styleId="10">
    <w:name w:val="footer"/>
    <w:basedOn w:val="1"/>
    <w:link w:val="24"/>
    <w:unhideWhenUsed/>
    <w:qFormat/>
    <w:uiPriority w:val="99"/>
    <w:pPr>
      <w:tabs>
        <w:tab w:val="center" w:pos="4153"/>
        <w:tab w:val="right" w:pos="8306"/>
      </w:tabs>
      <w:snapToGrid w:val="0"/>
      <w:jc w:val="left"/>
    </w:pPr>
    <w:rPr>
      <w:sz w:val="18"/>
      <w:szCs w:val="18"/>
    </w:rPr>
  </w:style>
  <w:style w:type="paragraph" w:styleId="11">
    <w:name w:val="header"/>
    <w:basedOn w:val="1"/>
    <w:link w:val="23"/>
    <w:unhideWhenUsed/>
    <w:qFormat/>
    <w:uiPriority w:val="99"/>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unhideWhenUsed/>
    <w:qFormat/>
    <w:uiPriority w:val="39"/>
    <w:pPr>
      <w:tabs>
        <w:tab w:val="right" w:leader="dot" w:pos="8296"/>
      </w:tabs>
      <w:spacing w:line="500" w:lineRule="exact"/>
      <w:ind w:firstLine="0" w:firstLineChars="0"/>
      <w:jc w:val="center"/>
    </w:pPr>
    <w:rPr>
      <w:rFonts w:ascii="黑体" w:hAnsi="黑体" w:eastAsia="黑体"/>
      <w:sz w:val="30"/>
      <w:szCs w:val="30"/>
    </w:rPr>
  </w:style>
  <w:style w:type="paragraph" w:styleId="13">
    <w:name w:val="toc 2"/>
    <w:basedOn w:val="1"/>
    <w:next w:val="1"/>
    <w:autoRedefine/>
    <w:unhideWhenUsed/>
    <w:qFormat/>
    <w:uiPriority w:val="39"/>
    <w:pPr>
      <w:tabs>
        <w:tab w:val="right" w:leader="dot" w:pos="8296"/>
      </w:tabs>
      <w:spacing w:line="500" w:lineRule="exact"/>
      <w:ind w:firstLine="560"/>
    </w:pPr>
    <w:rPr>
      <w:rFonts w:ascii="楷体" w:hAnsi="楷体" w:eastAsia="楷体"/>
      <w:sz w:val="28"/>
      <w:szCs w:val="28"/>
    </w:rPr>
  </w:style>
  <w:style w:type="paragraph" w:styleId="14">
    <w:name w:val="annotation subject"/>
    <w:basedOn w:val="6"/>
    <w:next w:val="6"/>
    <w:link w:val="32"/>
    <w:qFormat/>
    <w:uiPriority w:val="0"/>
    <w:rPr>
      <w:b/>
      <w:bCs/>
    </w:rPr>
  </w:style>
  <w:style w:type="table" w:styleId="16">
    <w:name w:val="Table Grid"/>
    <w:basedOn w:val="1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8">
    <w:name w:val="Strong"/>
    <w:basedOn w:val="17"/>
    <w:qFormat/>
    <w:uiPriority w:val="22"/>
    <w:rPr>
      <w:b/>
      <w:bCs/>
    </w:rPr>
  </w:style>
  <w:style w:type="character" w:styleId="19">
    <w:name w:val="FollowedHyperlink"/>
    <w:basedOn w:val="17"/>
    <w:qFormat/>
    <w:uiPriority w:val="0"/>
    <w:rPr>
      <w:color w:val="7E1FAD" w:themeColor="followedHyperlink"/>
      <w:u w:val="single"/>
      <w14:textFill>
        <w14:solidFill>
          <w14:schemeClr w14:val="folHlink"/>
        </w14:solidFill>
      </w14:textFill>
    </w:rPr>
  </w:style>
  <w:style w:type="character" w:styleId="20">
    <w:name w:val="Emphasis"/>
    <w:basedOn w:val="17"/>
    <w:qFormat/>
    <w:uiPriority w:val="20"/>
    <w:rPr>
      <w:i/>
      <w:iCs/>
    </w:rPr>
  </w:style>
  <w:style w:type="character" w:styleId="21">
    <w:name w:val="Hyperlink"/>
    <w:basedOn w:val="17"/>
    <w:unhideWhenUsed/>
    <w:qFormat/>
    <w:uiPriority w:val="99"/>
    <w:rPr>
      <w:color w:val="0026E5" w:themeColor="hyperlink"/>
      <w:u w:val="single"/>
      <w14:textFill>
        <w14:solidFill>
          <w14:schemeClr w14:val="hlink"/>
        </w14:solidFill>
      </w14:textFill>
    </w:rPr>
  </w:style>
  <w:style w:type="character" w:styleId="22">
    <w:name w:val="annotation reference"/>
    <w:basedOn w:val="17"/>
    <w:qFormat/>
    <w:uiPriority w:val="99"/>
    <w:rPr>
      <w:sz w:val="21"/>
      <w:szCs w:val="21"/>
    </w:rPr>
  </w:style>
  <w:style w:type="character" w:customStyle="1" w:styleId="23">
    <w:name w:val="页眉 字符"/>
    <w:basedOn w:val="17"/>
    <w:link w:val="11"/>
    <w:qFormat/>
    <w:uiPriority w:val="99"/>
    <w:rPr>
      <w:kern w:val="2"/>
      <w:sz w:val="18"/>
      <w:szCs w:val="18"/>
    </w:rPr>
  </w:style>
  <w:style w:type="character" w:customStyle="1" w:styleId="24">
    <w:name w:val="页脚 字符"/>
    <w:basedOn w:val="17"/>
    <w:link w:val="10"/>
    <w:qFormat/>
    <w:uiPriority w:val="99"/>
    <w:rPr>
      <w:kern w:val="2"/>
      <w:sz w:val="18"/>
      <w:szCs w:val="18"/>
    </w:rPr>
  </w:style>
  <w:style w:type="paragraph" w:styleId="25">
    <w:name w:val="List Paragraph"/>
    <w:basedOn w:val="1"/>
    <w:qFormat/>
    <w:uiPriority w:val="99"/>
    <w:pPr>
      <w:ind w:firstLine="420"/>
    </w:pPr>
  </w:style>
  <w:style w:type="character" w:customStyle="1" w:styleId="26">
    <w:name w:val="标题 2 字符"/>
    <w:basedOn w:val="17"/>
    <w:link w:val="3"/>
    <w:qFormat/>
    <w:uiPriority w:val="0"/>
    <w:rPr>
      <w:rFonts w:eastAsia="楷体" w:asciiTheme="majorHAnsi" w:hAnsiTheme="majorHAnsi" w:cstheme="majorBidi"/>
      <w:b/>
      <w:bCs/>
      <w:kern w:val="2"/>
      <w:sz w:val="32"/>
      <w:szCs w:val="32"/>
    </w:rPr>
  </w:style>
  <w:style w:type="character" w:customStyle="1" w:styleId="27">
    <w:name w:val="标题 3 字符"/>
    <w:basedOn w:val="17"/>
    <w:link w:val="4"/>
    <w:qFormat/>
    <w:uiPriority w:val="0"/>
    <w:rPr>
      <w:rFonts w:ascii="Times New Roman" w:hAnsi="Times New Roman" w:eastAsia="楷体"/>
      <w:b/>
      <w:bCs/>
      <w:kern w:val="2"/>
      <w:sz w:val="32"/>
      <w:szCs w:val="32"/>
    </w:rPr>
  </w:style>
  <w:style w:type="paragraph" w:customStyle="1" w:styleId="28">
    <w:name w:val="TOC 标题1"/>
    <w:basedOn w:val="2"/>
    <w:next w:val="1"/>
    <w:unhideWhenUsed/>
    <w:qFormat/>
    <w:uiPriority w:val="39"/>
    <w:pPr>
      <w:widowControl/>
      <w:spacing w:before="240" w:beforeLines="0" w:after="0" w:afterLines="0" w:line="259" w:lineRule="auto"/>
      <w:jc w:val="left"/>
      <w:outlineLvl w:val="9"/>
    </w:pPr>
    <w:rPr>
      <w:rFonts w:asciiTheme="majorHAnsi" w:hAnsiTheme="majorHAnsi" w:eastAsiaTheme="majorEastAsia" w:cstheme="majorBidi"/>
      <w:b w:val="0"/>
      <w:color w:val="2E54A1" w:themeColor="accent1" w:themeShade="BF"/>
      <w:kern w:val="0"/>
      <w:szCs w:val="32"/>
    </w:rPr>
  </w:style>
  <w:style w:type="character" w:customStyle="1" w:styleId="29">
    <w:name w:val="标题 4 字符"/>
    <w:basedOn w:val="17"/>
    <w:link w:val="5"/>
    <w:qFormat/>
    <w:uiPriority w:val="0"/>
    <w:rPr>
      <w:rFonts w:ascii="Times New Roman" w:hAnsi="Times New Roman" w:eastAsia="仿宋_GB2312" w:cstheme="majorBidi"/>
      <w:b/>
      <w:bCs/>
      <w:kern w:val="2"/>
      <w:sz w:val="32"/>
      <w:szCs w:val="28"/>
    </w:rPr>
  </w:style>
  <w:style w:type="character" w:customStyle="1" w:styleId="30">
    <w:name w:val="不明显强调1"/>
    <w:basedOn w:val="17"/>
    <w:qFormat/>
    <w:uiPriority w:val="19"/>
    <w:rPr>
      <w:i/>
      <w:iCs/>
      <w:color w:val="404040" w:themeColor="text1" w:themeTint="BF"/>
      <w14:textFill>
        <w14:solidFill>
          <w14:schemeClr w14:val="tx1">
            <w14:lumMod w14:val="75000"/>
            <w14:lumOff w14:val="25000"/>
          </w14:schemeClr>
        </w14:solidFill>
      </w14:textFill>
    </w:rPr>
  </w:style>
  <w:style w:type="character" w:customStyle="1" w:styleId="31">
    <w:name w:val="批注文字 字符"/>
    <w:basedOn w:val="17"/>
    <w:link w:val="6"/>
    <w:qFormat/>
    <w:uiPriority w:val="99"/>
    <w:rPr>
      <w:rFonts w:ascii="Times New Roman" w:hAnsi="Times New Roman" w:eastAsia="仿宋_GB2312"/>
      <w:kern w:val="2"/>
      <w:sz w:val="32"/>
      <w:szCs w:val="24"/>
    </w:rPr>
  </w:style>
  <w:style w:type="character" w:customStyle="1" w:styleId="32">
    <w:name w:val="批注主题 字符"/>
    <w:basedOn w:val="31"/>
    <w:link w:val="14"/>
    <w:qFormat/>
    <w:uiPriority w:val="0"/>
    <w:rPr>
      <w:rFonts w:ascii="Times New Roman" w:hAnsi="Times New Roman" w:eastAsia="仿宋_GB2312"/>
      <w:b/>
      <w:bCs/>
      <w:kern w:val="2"/>
      <w:sz w:val="32"/>
      <w:szCs w:val="24"/>
    </w:rPr>
  </w:style>
  <w:style w:type="character" w:customStyle="1" w:styleId="33">
    <w:name w:val="批注框文本 字符"/>
    <w:basedOn w:val="17"/>
    <w:link w:val="9"/>
    <w:qFormat/>
    <w:uiPriority w:val="0"/>
    <w:rPr>
      <w:rFonts w:ascii="Times New Roman" w:hAnsi="Times New Roman" w:eastAsia="仿宋_GB2312"/>
      <w:kern w:val="2"/>
      <w:sz w:val="18"/>
      <w:szCs w:val="18"/>
    </w:rPr>
  </w:style>
  <w:style w:type="paragraph" w:customStyle="1" w:styleId="34">
    <w:name w:val="ds-markdown-paragraph"/>
    <w:basedOn w:val="1"/>
    <w:qFormat/>
    <w:uiPriority w:val="0"/>
    <w:pPr>
      <w:widowControl/>
      <w:spacing w:before="100" w:beforeAutospacing="1" w:after="100" w:afterAutospacing="1" w:line="240" w:lineRule="auto"/>
      <w:ind w:firstLine="0" w:firstLineChars="0"/>
      <w:jc w:val="left"/>
    </w:pPr>
    <w:rPr>
      <w:rFonts w:ascii="宋体" w:hAnsi="宋体" w:eastAsia="宋体" w:cs="宋体"/>
      <w:kern w:val="0"/>
      <w:sz w:val="24"/>
    </w:rPr>
  </w:style>
  <w:style w:type="table" w:customStyle="1" w:styleId="35">
    <w:name w:val="Table Normal"/>
    <w:semiHidden/>
    <w:unhideWhenUsed/>
    <w:qFormat/>
    <w:uiPriority w:val="0"/>
    <w:rPr>
      <w:rFonts w:ascii="Times New Roman" w:hAnsi="Times New Roman" w:eastAsia="宋体" w:cs="Times New Roman"/>
    </w:rPr>
    <w:tblPr>
      <w:tblCellMar>
        <w:top w:w="0" w:type="dxa"/>
        <w:left w:w="0" w:type="dxa"/>
        <w:bottom w:w="0" w:type="dxa"/>
        <w:right w:w="0" w:type="dxa"/>
      </w:tblCellMar>
    </w:tblPr>
  </w:style>
  <w:style w:type="paragraph" w:customStyle="1" w:styleId="36">
    <w:name w:val="Table Text"/>
    <w:basedOn w:val="1"/>
    <w:semiHidden/>
    <w:qFormat/>
    <w:uiPriority w:val="0"/>
    <w:pPr>
      <w:widowControl/>
      <w:kinsoku w:val="0"/>
      <w:autoSpaceDE w:val="0"/>
      <w:autoSpaceDN w:val="0"/>
      <w:adjustRightInd w:val="0"/>
      <w:snapToGrid w:val="0"/>
      <w:spacing w:line="240" w:lineRule="auto"/>
      <w:ind w:firstLine="0" w:firstLineChars="0"/>
      <w:jc w:val="left"/>
      <w:textAlignment w:val="baseline"/>
    </w:pPr>
    <w:rPr>
      <w:rFonts w:eastAsia="Times New Roman" w:cs="Times New Roman"/>
      <w:snapToGrid w:val="0"/>
      <w:color w:val="000000"/>
      <w:kern w:val="0"/>
      <w:sz w:val="21"/>
      <w:szCs w:val="21"/>
      <w:lang w:eastAsia="en-US"/>
    </w:rPr>
  </w:style>
  <w:style w:type="character" w:customStyle="1" w:styleId="37">
    <w:name w:val="正文文本 字符"/>
    <w:basedOn w:val="17"/>
    <w:link w:val="7"/>
    <w:qFormat/>
    <w:uiPriority w:val="0"/>
    <w:rPr>
      <w:rFonts w:ascii="Arial" w:hAnsi="Arial" w:eastAsia="Arial" w:cs="Arial"/>
      <w:snapToGrid w:val="0"/>
      <w:color w:val="000000"/>
      <w:sz w:val="21"/>
      <w:szCs w:val="21"/>
      <w:lang w:eastAsia="en-US"/>
    </w:rPr>
  </w:style>
  <w:style w:type="paragraph" w:customStyle="1" w:styleId="38">
    <w:name w:val="列出段落1"/>
    <w:basedOn w:val="1"/>
    <w:qFormat/>
    <w:uiPriority w:val="0"/>
    <w:pPr>
      <w:spacing w:line="240" w:lineRule="auto"/>
      <w:ind w:firstLine="420"/>
    </w:pPr>
    <w:rPr>
      <w:rFonts w:ascii="Calibri" w:hAnsi="Calibri" w:eastAsia="宋体" w:cs="Times New Roman"/>
      <w:sz w:val="21"/>
      <w:szCs w:val="21"/>
    </w:rPr>
  </w:style>
  <w:style w:type="paragraph" w:customStyle="1" w:styleId="39">
    <w:name w:val="修订1"/>
    <w:hidden/>
    <w:semiHidden/>
    <w:qFormat/>
    <w:uiPriority w:val="99"/>
    <w:rPr>
      <w:rFonts w:ascii="Times New Roman" w:hAnsi="Times New Roman" w:eastAsia="仿宋_GB2312" w:cstheme="minorBidi"/>
      <w:kern w:val="2"/>
      <w:sz w:val="32"/>
      <w:szCs w:val="24"/>
      <w:lang w:val="en-US" w:eastAsia="zh-CN" w:bidi="ar-SA"/>
    </w:rPr>
  </w:style>
  <w:style w:type="character" w:customStyle="1" w:styleId="40">
    <w:name w:val="样式 仿宋_GB2312 (符号) 宋体 三号"/>
    <w:qFormat/>
    <w:uiPriority w:val="0"/>
    <w:rPr>
      <w:rFonts w:ascii="仿宋_GB2312" w:hAnsi="仿宋_GB2312" w:eastAsia="仿宋_GB2312"/>
      <w:sz w:val="32"/>
    </w:rPr>
  </w:style>
  <w:style w:type="paragraph" w:customStyle="1" w:styleId="41">
    <w:name w:val="修订2"/>
    <w:hidden/>
    <w:semiHidden/>
    <w:qFormat/>
    <w:uiPriority w:val="99"/>
    <w:rPr>
      <w:rFonts w:ascii="Times New Roman" w:hAnsi="Times New Roman" w:eastAsia="仿宋_GB2312" w:cstheme="minorBidi"/>
      <w:kern w:val="2"/>
      <w:sz w:val="32"/>
      <w:szCs w:val="24"/>
      <w:lang w:val="en-US" w:eastAsia="zh-CN" w:bidi="ar-SA"/>
    </w:rPr>
  </w:style>
  <w:style w:type="paragraph" w:customStyle="1" w:styleId="42">
    <w:name w:val="修订3"/>
    <w:hidden/>
    <w:semiHidden/>
    <w:qFormat/>
    <w:uiPriority w:val="99"/>
    <w:rPr>
      <w:rFonts w:ascii="Times New Roman" w:hAnsi="Times New Roman" w:eastAsia="仿宋_GB2312" w:cstheme="minorBidi"/>
      <w:kern w:val="2"/>
      <w:sz w:val="32"/>
      <w:szCs w:val="24"/>
      <w:lang w:val="en-US" w:eastAsia="zh-CN" w:bidi="ar-SA"/>
    </w:rPr>
  </w:style>
  <w:style w:type="paragraph" w:customStyle="1" w:styleId="43">
    <w:name w:val="修订4"/>
    <w:hidden/>
    <w:semiHidden/>
    <w:qFormat/>
    <w:uiPriority w:val="99"/>
    <w:rPr>
      <w:rFonts w:ascii="Times New Roman" w:hAnsi="Times New Roman" w:eastAsia="仿宋_GB2312" w:cstheme="minorBidi"/>
      <w:kern w:val="2"/>
      <w:sz w:val="32"/>
      <w:szCs w:val="24"/>
      <w:lang w:val="en-US" w:eastAsia="zh-CN" w:bidi="ar-SA"/>
    </w:rPr>
  </w:style>
  <w:style w:type="paragraph" w:customStyle="1" w:styleId="44">
    <w:name w:val="修订5"/>
    <w:hidden/>
    <w:semiHidden/>
    <w:qFormat/>
    <w:uiPriority w:val="99"/>
    <w:rPr>
      <w:rFonts w:ascii="Times New Roman" w:hAnsi="Times New Roman" w:eastAsia="仿宋_GB2312" w:cstheme="minorBidi"/>
      <w:kern w:val="2"/>
      <w:sz w:val="32"/>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2.xml"/><Relationship Id="rId23" Type="http://schemas.openxmlformats.org/officeDocument/2006/relationships/customXml" Target="../customXml/item1.xml"/><Relationship Id="rId22" Type="http://schemas.openxmlformats.org/officeDocument/2006/relationships/numbering" Target="numbering.xml"/><Relationship Id="rId21" Type="http://schemas.openxmlformats.org/officeDocument/2006/relationships/theme" Target="theme/theme1.xml"/><Relationship Id="rId20" Type="http://schemas.openxmlformats.org/officeDocument/2006/relationships/footer" Target="footer7.xml"/><Relationship Id="rId2" Type="http://schemas.openxmlformats.org/officeDocument/2006/relationships/settings" Target="settings.xml"/><Relationship Id="rId19" Type="http://schemas.openxmlformats.org/officeDocument/2006/relationships/footer" Target="footer6.xml"/><Relationship Id="rId18" Type="http://schemas.openxmlformats.org/officeDocument/2006/relationships/header" Target="header9.xml"/><Relationship Id="rId17" Type="http://schemas.openxmlformats.org/officeDocument/2006/relationships/header" Target="header8.xml"/><Relationship Id="rId16" Type="http://schemas.openxmlformats.org/officeDocument/2006/relationships/header" Target="header7.xml"/><Relationship Id="rId15" Type="http://schemas.openxmlformats.org/officeDocument/2006/relationships/footer" Target="footer5.xml"/><Relationship Id="rId14" Type="http://schemas.openxmlformats.org/officeDocument/2006/relationships/footer" Target="footer4.xml"/><Relationship Id="rId13" Type="http://schemas.openxmlformats.org/officeDocument/2006/relationships/header" Target="header6.xml"/><Relationship Id="rId12" Type="http://schemas.openxmlformats.org/officeDocument/2006/relationships/header" Target="header5.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a15737a2-9e8f-4579-a343-7016f2a7a6a0</errorID>
      <errorWord>实现巩固脱贫攻坚成果同乡村振兴有效衔接</errorWord>
      <group>L1_Word</group>
      <groupName>字词问题</groupName>
      <ability>L2_Typo</ability>
      <abilityName>字词错误</abilityName>
      <candidateList>
        <item>实现巩固拓展脱贫攻坚成果同乡村振兴有效衔接</item>
      </candidateList>
      <explain/>
      <paraID>44FC645D</paraID>
      <start>435</start>
      <end>454</end>
      <status>ignored</status>
      <modifiedWord/>
      <trackRevisions>false</trackRevisions>
    </reviewItem>
    <reviewItem>
      <errorID>a0ee38a0-2690-4aa8-b84d-b377ec720ed2</errorID>
      <errorWord>社会消费品零售额</errorWord>
      <group>L1_Political</group>
      <groupName>政治性问题</groupName>
      <ability>L2_Keyword</ability>
      <abilityName>固定表述</abilityName>
      <candidateList>
        <item>社会消费品零售总额</item>
      </candidateList>
      <explain>词汇“社会消费品零售总额”在特定场景下为固定表述形式，请确认此处的“社会消费品零售额”是否存在不当。</explain>
      <paraID>5A0E1F0E</paraID>
      <start>0</start>
      <end>9</end>
      <status>modified</status>
      <modifiedWord>社会消费品零售总额</modifiedWord>
      <trackRevisions>false</trackRevisions>
    </reviewItem>
    <reviewItem>
      <errorID>b2c25875-e7ee-483c-ab9f-a061a191f6f1</errorID>
      <errorWord>经济长期向好的支撑条件和基本趋势没有变</errorWord>
      <group>L1_Political</group>
      <groupName>政治性问题</groupName>
      <ability>L2_Keyword</ability>
      <abilityName>固定表述</abilityName>
      <candidateList>
        <item>经济长期向好的支撑条件和基本趋势没有改变</item>
      </candidateList>
      <explain>词汇“经济长期向好的支撑条件和基本趋势没有改变”在特定场景下为固定表述形式，请确认此处的“经济长期向好的支撑条件和基本趋势没有变”是否存在不当。</explain>
      <paraID>4BBF4C2A</paraID>
      <start>7</start>
      <end>26</end>
      <status>ignored</status>
      <modifiedWord/>
      <trackRevisions>false</trackRevisions>
    </reviewItem>
    <reviewItem>
      <errorID>f07749ec-1f2b-40e0-afaa-1b9fc09b2f64</errorID>
      <errorWord>出</errorWord>
      <group>L1_Word</group>
      <groupName>字词问题</groupName>
      <ability>L2_Typo</ability>
      <abilityName>字词错误</abilityName>
      <candidateList>
        <item>出了</item>
      </candidateList>
      <explain/>
      <paraID>4BBF4C2A</paraID>
      <start>144</start>
      <end>145</end>
      <status>ignored</status>
      <modifiedWord/>
      <trackRevisions>false</trackRevisions>
    </reviewItem>
    <reviewItem>
      <errorID>47cc72cc-d953-4658-ae0e-545b3bd5f26c</errorID>
      <errorWord>服务融入新发展格局</errorWord>
      <group>L1_Political</group>
      <groupName>政治性问题</groupName>
      <ability>L2_Keyword</ability>
      <abilityName>固定表述</abilityName>
      <candidateList>
        <item>服务和融入新发展格局</item>
      </candidateList>
      <explain>词汇“服务和融入新发展格局”在特定场景下为固定表述形式，请确认此处的“服务融入新发展格局”是否存在不当。</explain>
      <paraID>5D0DCF54</paraID>
      <start>164</start>
      <end>173</end>
      <status>ignored</status>
      <modifiedWord/>
      <trackRevisions>false</trackRevisions>
    </reviewItem>
    <reviewItem>
      <errorID>b6fc9443-8946-4b1b-ad73-3a9ab4c8870b</errorID>
      <errorWord>与</errorWord>
      <group>L1_Word</group>
      <groupName>字词问题</groupName>
      <ability>L2_Typo</ability>
      <abilityName>字词错误</abilityName>
      <candidateList>
        <item>与党</item>
      </candidateList>
      <explain/>
      <paraID>34650F1C</paraID>
      <start>56</start>
      <end>57</end>
      <status>ignored</status>
      <modifiedWord/>
      <trackRevisions>false</trackRevisions>
    </reviewItem>
    <reviewItem>
      <errorID>9d7ee7f0-505f-4d44-b924-1b8f421f342b</errorID>
      <errorWord>产业链、创新链、资金链、人才链</errorWord>
      <group>L1_Political</group>
      <groupName>政治性问题</groupName>
      <ability>L2_Keyword</ability>
      <abilityName>固定表述</abilityName>
      <candidateList>
        <item>创新链、产业链、人才链、资金链</item>
      </candidateList>
      <explain>词汇“创新链、产业链、人才链、资金链”在特定场景下为固定表述形式，请确认此处的“产业链、创新链、资金链、人才链”是否存在不当。</explain>
      <paraID>12687EE1</paraID>
      <start>67</start>
      <end>82</end>
      <status>ignored</status>
      <modifiedWord/>
      <trackRevisions>false</trackRevisions>
    </reviewItem>
    <reviewItem>
      <errorID>d3141fee-d87f-4ce0-a711-cdb49b22686d</errorID>
      <errorWord>好</errorWord>
      <group>L1_Word</group>
      <groupName>字词问题</groupName>
      <ability>L2_Typo</ability>
      <abilityName>字词错误</abilityName>
      <candidateList>
        <item>好地</item>
      </candidateList>
      <explain/>
      <paraID>39948A38</paraID>
      <start>58</start>
      <end>59</end>
      <status>ignored</status>
      <modifiedWord/>
      <trackRevisions>false</trackRevisions>
    </reviewItem>
    <reviewItem>
      <errorID>b9b59dcb-9cca-4ab1-a390-30e2fb15802c</errorID>
      <errorWord>增强</errorWord>
      <group>L1_Grammar</group>
      <groupName>语法问题</groupName>
      <ability>L2_Grammar</ability>
      <abilityName>语法错误</abilityName>
      <candidateList>
        <item>提升</item>
      </candidateList>
      <explain>“水平～增强”搭配不当，建议修改为“水平～提升”。</explain>
      <paraID>3D841704</paraID>
      <start>62</start>
      <end>64</end>
      <status>ignored</status>
      <modifiedWord/>
      <trackRevisions>false</trackRevisions>
    </reviewItem>
    <reviewItem>
      <errorID>3a0a3231-3ab4-4ce4-b919-e3ccc6ecfae8</errorID>
      <errorWord>多层次社会保障体系日趋健全</errorWord>
      <group>L1_Political</group>
      <groupName>政治性问题</groupName>
      <ability>L2_Keyword</ability>
      <abilityName>固定表述</abilityName>
      <candidateList>
        <item>多层次社会保障体系更加健全</item>
      </candidateList>
      <explain>词汇“多层次社会保障体系更加健全”在特定场景下为固定表述形式，请确认此处的“多层次社会保障体系日趋健全”是否存在不当。</explain>
      <paraID>6ADD742C</paraID>
      <start>39</start>
      <end>52</end>
      <status>ignored</status>
      <modifiedWord/>
      <trackRevisions>false</trackRevisions>
    </reviewItem>
    <reviewItem>
      <errorID>3e3b7762-a42b-43fe-88a5-de8952b691a3</errorID>
      <errorWord>增强</errorWord>
      <group>L1_Grammar</group>
      <groupName>语法问题</groupName>
      <ability>L2_Grammar</ability>
      <abilityName>语法错误</abilityName>
      <candidateList>
        <item>提升</item>
      </candidateList>
      <explain>“水平～增强”搭配不当，建议修改为“水平～提升”。</explain>
      <paraID>26DA0FD6</paraID>
      <start>74</start>
      <end>76</end>
      <status>ignored</status>
      <modifiedWord/>
      <trackRevisions>false</trackRevisions>
    </reviewItem>
    <reviewItem>
      <errorID>9b005b75-e5e2-4362-8f92-ec63d334dc0e</errorID>
      <errorWord>社会消费品零售额</errorWord>
      <group>L1_Political</group>
      <groupName>政治性问题</groupName>
      <ability>L2_Keyword</ability>
      <abilityName>固定表述</abilityName>
      <candidateList>
        <item>社会消费品零售总额</item>
      </candidateList>
      <explain>词汇“社会消费品零售总额”在特定场景下为固定表述形式，请确认此处的“社会消费品零售额”是否存在不当。</explain>
      <paraID>3E3333DE</paraID>
      <start>0</start>
      <end>9</end>
      <status>modified</status>
      <modifiedWord>社会消费品零售总额</modifiedWord>
      <trackRevisions>false</trackRevisions>
    </reviewItem>
    <reviewItem>
      <errorID>7781ff87-3204-4818-a210-8aafec278110</errorID>
      <errorWord>导引</errorWord>
      <group>L1_Word</group>
      <groupName>字词问题</groupName>
      <ability>L2_Typo</ability>
      <abilityName>字词错误</abilityName>
      <candidateList>
        <item>引导</item>
      </candidateList>
      <explain/>
      <paraID> 7593F65</paraID>
      <start>145</start>
      <end>147</end>
      <status>ignored</status>
      <modifiedWord/>
      <trackRevisions>false</trackRevisions>
    </reviewItem>
    <reviewItem>
      <errorID>80197393-ad78-4b87-a0cb-f30ffe8ccedb</errorID>
      <errorWord>中科院</errorWord>
      <group>L1_Knowledge</group>
      <groupName>知识性问题</groupName>
      <ability>L2_Knowledge</ability>
      <abilityName>其他知识</abilityName>
      <candidateList>
        <item>中国科学院</item>
      </candidateList>
      <explain/>
      <paraID> 7F6CBC8</paraID>
      <start>104</start>
      <end>107</end>
      <status>ignored</status>
      <modifiedWord/>
      <trackRevisions>false</trackRevisions>
    </reviewItem>
    <reviewItem>
      <errorID>df014696-9d66-4962-9040-2add41b3c4ff</errorID>
      <errorWord>“三权”分置</errorWord>
      <group>L1_Political</group>
      <groupName>政治性问题</groupName>
      <ability>L2_Keyword</ability>
      <abilityName>固定表述</abilityName>
      <candidateList>
        <item>“三权分置”</item>
      </candidateList>
      <explain>注意检查当前固定表述标点是否使用规范。</explain>
      <paraID>387F9896</paraID>
      <start>50</start>
      <end>56</end>
      <status>ignored</status>
      <modifiedWord/>
      <trackRevisions>false</trackRevisions>
    </reviewItem>
    <reviewItem>
      <errorID>1d376799-f92c-4105-8b9c-b1bd25c46f53</errorID>
      <errorWord>农场适度规模经营</errorWord>
      <group>L1_Political</group>
      <groupName>政治性问题</groupName>
      <ability>L2_Keyword</ability>
      <abilityName>固定表述</abilityName>
      <candidateList>
        <item>农业适度规模经营</item>
      </candidateList>
      <explain>词汇“农业适度规模经营”在特定场景下为固定表述形式，请确认此处的“农场适度规模经营”是否存在不当。</explain>
      <paraID>3F84CA01</paraID>
      <start>37</start>
      <end>45</end>
      <status>ignored</status>
      <modifiedWord/>
      <trackRevisions>false</trackRevisions>
    </reviewItem>
    <reviewItem>
      <errorID>28973b94-dd8c-452d-8d9f-21fe9a5cd305</errorID>
      <errorWord>促进服务业优质发展</errorWord>
      <group>L1_Political</group>
      <groupName>政治性问题</groupName>
      <ability>L2_Keyword</ability>
      <abilityName>固定表述</abilityName>
      <candidateList>
        <item>促进服务业优质高效发展</item>
      </candidateList>
      <explain>词汇“促进服务业优质高效发展”在特定场景下为固定表述形式，请确认此处的“促进服务业优质发展”是否存在不当。</explain>
      <paraID>37CD8A76</paraID>
      <start>4</start>
      <end>13</end>
      <status>ignored</status>
      <modifiedWord/>
      <trackRevisions>false</trackRevisions>
    </reviewItem>
    <reviewItem>
      <errorID>616bca33-7e90-4514-a6c7-e7982441fe45</errorID>
      <errorWord>农业升级</errorWord>
      <group>L1_Knowledge</group>
      <groupName>知识性问题</groupName>
      <ability>L2_Term</ability>
      <abilityName>专业术语</abilityName>
      <candidateList>
        <item>产业升级</item>
      </candidateList>
      <explain/>
      <paraID>138F86E3</paraID>
      <start>228</start>
      <end>232</end>
      <status>ignored</status>
      <modifiedWord/>
      <trackRevisions>false</trackRevisions>
    </reviewItem>
    <reviewItem>
      <errorID>b5edee7d-d443-47db-8232-04135f13b6c2</errorID>
      <errorWord>浆板</errorWord>
      <group>L1_Word</group>
      <groupName>字词问题</groupName>
      <ability>L2_Typo</ability>
      <abilityName>字词错误</abilityName>
      <candidateList>
        <item>桨板</item>
      </candidateList>
      <explain>存在发音相同字词的误用。</explain>
      <paraID>792C3A7E</paraID>
      <start>105</start>
      <end>107</end>
      <status>ignored</status>
      <modifiedWord/>
      <trackRevisions>false</trackRevisions>
    </reviewItem>
    <reviewItem>
      <errorID>e2076e60-b3bb-472f-adb2-eaf45afc8e28</errorID>
      <errorWord>高品质</errorWord>
      <group>L1_Grammar</group>
      <groupName>语法问题</groupName>
      <ability>L2_Grammar</ability>
      <abilityName>语法错误</abilityName>
      <candidateList>
        <item>高质量</item>
      </candidateList>
      <explain>“高品质～发展”搭配不当，建议修改为“高质量～发展”。</explain>
      <paraID>170CBBE0</paraID>
      <start>11</start>
      <end>14</end>
      <status>ignored</status>
      <modifiedWord/>
      <trackRevisions>false</trackRevisions>
    </reviewItem>
    <reviewItem>
      <errorID>8e19b94e-dbbe-4e41-b189-67138d1bb48f</errorID>
      <errorWord>粘豆包</errorWord>
      <group>L1_Word</group>
      <groupName>字词问题</groupName>
      <ability>L2_Typo</ability>
      <abilityName>字词错误</abilityName>
      <candidateList>
        <item>黏豆包</item>
      </candidateList>
      <explain/>
      <paraID> 2BD6BF3</paraID>
      <start>103</start>
      <end>106</end>
      <status>ignored</status>
      <modifiedWord/>
      <trackRevisions>false</trackRevisions>
    </reviewItem>
    <reviewItem>
      <errorID>7003c82c-0463-4acc-a725-6a2ed9b4af06</errorID>
      <errorWord>办好人民满意教育</errorWord>
      <group>L1_Political</group>
      <groupName>政治性问题</groupName>
      <ability>L2_Keyword</ability>
      <abilityName>固定表述</abilityName>
      <candidateList>
        <item>办好人民满意的教育</item>
      </candidateList>
      <explain>词汇“办好人民满意的教育”在特定场景下为固定表述形式，请确认此处的“办好人民满意教育”是否存在不当。</explain>
      <paraID>32C1D766</paraID>
      <start>4</start>
      <end>12</end>
      <status>ignored</status>
      <modifiedWord/>
      <trackRevisions>false</trackRevisions>
    </reviewItem>
    <reviewItem>
      <errorID>3639d329-af70-4e0d-86af-31096cbc66a3</errorID>
      <errorWord>县</errorWord>
      <group>L1_Word</group>
      <groupName>字词问题</groupName>
      <ability>L2_Typo</ability>
      <abilityName>字词错误</abilityName>
      <candidateList>
        <item>县级</item>
      </candidateList>
      <explain/>
      <paraID>56812ABA</paraID>
      <start>81</start>
      <end>82</end>
      <status>ignored</status>
      <modifiedWord/>
      <trackRevisions>false</trackRevisions>
    </reviewItem>
    <reviewItem>
      <errorID>bf17c429-4323-46e9-a3bb-416f31569b44</errorID>
      <errorWord>污水厂</errorWord>
      <group>L1_Word</group>
      <groupName>字词问题</groupName>
      <ability>L2_Typo</ability>
      <abilityName>字词错误</abilityName>
      <candidateList>
        <item>污水处理厂</item>
      </candidateList>
      <explain/>
      <paraID>4509FE40</paraID>
      <start>7</start>
      <end>10</end>
      <status>ignored</status>
      <modifiedWord/>
      <trackRevisions>false</trackRevisions>
    </reviewItem>
    <reviewItem>
      <errorID>a0f4a6ed-7b64-4d5d-8436-f9673a0387a7</errorID>
      <errorWord>市场经营机制</errorWord>
      <group>L1_Political</group>
      <groupName>政治性问题</groupName>
      <ability>L2_Keyword</ability>
      <abilityName>固定表述</abilityName>
      <candidateList>
        <item>市场化经营机制</item>
      </candidateList>
      <explain>词汇“市场化经营机制”在特定场景下为固定表述形式，请确认此处的“市场经营机制”是否存在不当。</explain>
      <paraID>63DC4894</paraID>
      <start>2</start>
      <end>8</end>
      <status>ignored</status>
      <modifiedWord/>
      <trackRevisions>false</trackRevisions>
    </reviewItem>
  </reviewItems>
  <config/>
</contractReview>
</file>

<file path=customXml/itemProps1.xml><?xml version="1.0" encoding="utf-8"?>
<ds:datastoreItem xmlns:ds="http://schemas.openxmlformats.org/officeDocument/2006/customXml" ds:itemID="{E2848C44-A06B-4E6E-8ED4-E37AAB854605}">
  <ds:schemaRefs/>
</ds:datastoreItem>
</file>

<file path=customXml/itemProps2.xml><?xml version="1.0" encoding="utf-8"?>
<ds:datastoreItem xmlns:ds="http://schemas.openxmlformats.org/officeDocument/2006/customXml" ds:itemID="{04044EB2-5473-44ED-8ABB-7B5BB7457A5F}">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72</Pages>
  <Words>4488</Words>
  <Characters>4835</Characters>
  <Lines>330</Lines>
  <Paragraphs>93</Paragraphs>
  <TotalTime>0</TotalTime>
  <ScaleCrop>false</ScaleCrop>
  <LinksUpToDate>false</LinksUpToDate>
  <CharactersWithSpaces>4983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2026-08-10T04:34:00Z</dcterms:created>
  <dc:creator>pc</dc:creator>
  <cp:lastModifiedBy>0</cp:lastModifiedBy>
  <cp:lastPrinted>2025-12-19T05:51:00Z</cp:lastPrinted>
  <dcterms:modified xsi:type="dcterms:W3CDTF">2026-08-17T02:40:44Z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26E3123AD28E40049A8E4B2A9A35B9F7_13</vt:lpwstr>
  </property>
  <property fmtid="{D5CDD505-2E9C-101B-9397-08002B2CF9AE}" pid="4" name="KSOTemplateDocerSaveRecord">
    <vt:lpwstr>eyJoZGlkIjoiZjY2NGI2NWQ2NWJmNGJmODdiNzJhM2IxNTFkNjE0YzAiLCJ1c2VySWQiOiIzMzQwNTY3NjMifQ==</vt:lpwstr>
  </property>
</Properties>
</file>