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cs="宋体"/>
          <w:b/>
          <w:sz w:val="44"/>
          <w:szCs w:val="44"/>
        </w:rPr>
      </w:pPr>
      <w:r>
        <w:rPr>
          <w:rFonts w:hint="eastAsia" w:ascii="宋体" w:hAnsi="宋体" w:cs="宋体"/>
          <w:b/>
          <w:sz w:val="44"/>
          <w:szCs w:val="44"/>
        </w:rPr>
        <w:t>人社局2018年预算公开说明</w:t>
      </w:r>
    </w:p>
    <w:p>
      <w:pPr>
        <w:rPr>
          <w:rFonts w:hint="eastAsia" w:ascii="仿宋" w:hAnsi="仿宋" w:eastAsia="仿宋" w:cs="仿宋"/>
          <w:bCs/>
        </w:rPr>
      </w:pPr>
    </w:p>
    <w:p>
      <w:pPr>
        <w:pStyle w:val="9"/>
        <w:ind w:firstLine="588" w:firstLineChars="196"/>
        <w:rPr>
          <w:rFonts w:hint="eastAsia" w:ascii="宋体" w:hAnsi="宋体" w:cs="宋体"/>
          <w:bCs/>
          <w:sz w:val="30"/>
          <w:szCs w:val="30"/>
        </w:rPr>
      </w:pPr>
    </w:p>
    <w:p>
      <w:pPr>
        <w:ind w:firstLine="640" w:firstLineChars="200"/>
        <w:rPr>
          <w:rFonts w:hint="eastAsia" w:ascii="宋体" w:hAnsi="宋体" w:cs="宋体"/>
          <w:color w:val="000000"/>
          <w:sz w:val="32"/>
          <w:szCs w:val="32"/>
          <w:shd w:val="clear" w:color="auto" w:fill="FFFFFF"/>
        </w:rPr>
      </w:pPr>
      <w:r>
        <w:rPr>
          <w:rFonts w:hint="eastAsia" w:ascii="宋体" w:hAnsi="宋体" w:cs="宋体"/>
          <w:bCs/>
          <w:sz w:val="32"/>
          <w:szCs w:val="32"/>
        </w:rPr>
        <w:t>一、部门主要职责及机构设置情况:</w:t>
      </w:r>
      <w:r>
        <w:rPr>
          <w:rFonts w:hint="eastAsia" w:ascii="宋体" w:hAnsi="宋体" w:cs="宋体"/>
          <w:color w:val="000000"/>
          <w:sz w:val="32"/>
          <w:szCs w:val="32"/>
          <w:shd w:val="clear" w:color="auto" w:fill="FFFFFF"/>
        </w:rPr>
        <w:t>下设综合科、公务员管理科、事业单位人事管理科、劳动关系科、职业技能开发科、工资福利科、社会保险科、工伤保险科、专业技术职称科、政策法规与劳动人事争议仲裁科、档案科、军转办及工会、考工和统发办、党委办公室等14个科室，。主要工作职能可归纳为6个方面，即就业再就业、社会保障、人才队伍建设、和谐劳动关系建设、机关事业单位管理与制度改革、企业和机关事业单位工资管理与制度改革。</w:t>
      </w:r>
    </w:p>
    <w:p>
      <w:pPr>
        <w:ind w:firstLine="640" w:firstLineChars="200"/>
        <w:rPr>
          <w:rFonts w:hint="eastAsia" w:ascii="宋体" w:hAnsi="宋体" w:cs="宋体"/>
          <w:sz w:val="32"/>
          <w:szCs w:val="32"/>
        </w:rPr>
      </w:pPr>
      <w:r>
        <w:rPr>
          <w:rFonts w:hint="eastAsia" w:ascii="宋体" w:hAnsi="宋体" w:cs="宋体"/>
          <w:bCs/>
          <w:sz w:val="32"/>
          <w:szCs w:val="32"/>
        </w:rPr>
        <w:t>二、预算收支增减变化情况:</w:t>
      </w:r>
      <w:r>
        <w:rPr>
          <w:rFonts w:hint="eastAsia" w:ascii="宋体" w:hAnsi="宋体" w:cs="宋体"/>
          <w:sz w:val="32"/>
          <w:szCs w:val="32"/>
        </w:rPr>
        <w:t>2018年财政拨款收入19270800元,较2017年有所增加。</w:t>
      </w:r>
    </w:p>
    <w:p>
      <w:pPr>
        <w:pStyle w:val="4"/>
        <w:spacing w:before="0" w:beforeAutospacing="0" w:after="0" w:afterAutospacing="0"/>
        <w:ind w:firstLine="640" w:firstLineChars="200"/>
        <w:rPr>
          <w:bCs/>
          <w:sz w:val="32"/>
          <w:szCs w:val="32"/>
        </w:rPr>
      </w:pPr>
      <w:r>
        <w:rPr>
          <w:rFonts w:hint="eastAsia"/>
          <w:bCs/>
          <w:sz w:val="32"/>
          <w:szCs w:val="32"/>
        </w:rPr>
        <w:t>三、机关运行费安排情况：共346400元，其中办公费34200元、印刷费2800元、邮电费11100元、差旅费64800元、会议费2200元、福利费1100元、水费7100元、电费7100元、物业管理费2200元、、软件及系统维护费600元、零星用品购置费1700元、公务交通补贴170400元、维修费5600元、其他商品和服务支出33400元、培训费2200元。</w:t>
      </w:r>
    </w:p>
    <w:p>
      <w:pPr>
        <w:pStyle w:val="4"/>
        <w:spacing w:before="0" w:beforeAutospacing="0" w:after="0" w:afterAutospacing="0"/>
        <w:ind w:firstLine="640" w:firstLineChars="200"/>
        <w:rPr>
          <w:rFonts w:hint="eastAsia"/>
          <w:bCs/>
          <w:sz w:val="32"/>
          <w:szCs w:val="32"/>
        </w:rPr>
      </w:pPr>
      <w:r>
        <w:rPr>
          <w:rFonts w:hint="eastAsia"/>
          <w:bCs/>
          <w:sz w:val="32"/>
          <w:szCs w:val="32"/>
        </w:rPr>
        <w:t>四、政府采购安排情况：无政府采购情况。</w:t>
      </w:r>
    </w:p>
    <w:p>
      <w:pPr>
        <w:pStyle w:val="4"/>
        <w:spacing w:before="0" w:beforeAutospacing="0" w:after="0" w:afterAutospacing="0"/>
        <w:ind w:firstLine="640" w:firstLineChars="200"/>
        <w:rPr>
          <w:rFonts w:hint="eastAsia"/>
          <w:bCs/>
          <w:sz w:val="32"/>
          <w:szCs w:val="32"/>
        </w:rPr>
      </w:pPr>
      <w:r>
        <w:rPr>
          <w:rFonts w:hint="eastAsia"/>
          <w:bCs/>
          <w:sz w:val="32"/>
          <w:szCs w:val="32"/>
        </w:rPr>
        <w:t>五、“三公”经费增减变化原因等情况说明：本单位无三公经费，不涉及此项目经费。</w:t>
      </w:r>
    </w:p>
    <w:p>
      <w:pPr>
        <w:pStyle w:val="4"/>
        <w:spacing w:before="0" w:beforeAutospacing="0" w:after="0" w:afterAutospacing="0"/>
        <w:ind w:firstLine="600" w:firstLineChars="200"/>
        <w:rPr>
          <w:rFonts w:hint="eastAsia" w:ascii="仿宋" w:hAnsi="仿宋" w:eastAsia="仿宋" w:cs="仿宋"/>
          <w:bCs/>
          <w:sz w:val="30"/>
          <w:szCs w:val="30"/>
        </w:rPr>
      </w:pPr>
    </w:p>
    <w:p>
      <w:pPr>
        <w:pStyle w:val="4"/>
        <w:spacing w:before="0" w:beforeAutospacing="0" w:after="0" w:afterAutospacing="0"/>
        <w:ind w:left="420"/>
        <w:rPr>
          <w:rFonts w:hint="eastAsia" w:ascii="仿宋" w:hAnsi="仿宋" w:eastAsia="仿宋" w:cs="仿宋"/>
          <w:bCs/>
          <w:sz w:val="32"/>
          <w:szCs w:val="32"/>
        </w:rPr>
      </w:pPr>
      <w:r>
        <w:rPr>
          <w:rFonts w:hint="eastAsia" w:ascii="仿宋" w:hAnsi="仿宋" w:eastAsia="仿宋" w:cs="仿宋"/>
          <w:bCs/>
          <w:sz w:val="32"/>
          <w:szCs w:val="32"/>
        </w:rPr>
        <w:t xml:space="preserve">  六、名词解释</w:t>
      </w:r>
    </w:p>
    <w:p>
      <w:pPr>
        <w:ind w:firstLine="640" w:firstLineChars="200"/>
        <w:jc w:val="left"/>
        <w:rPr>
          <w:rFonts w:hint="eastAsia" w:ascii="仿宋" w:hAnsi="仿宋" w:eastAsia="仿宋" w:cs="仿宋"/>
          <w:b w:val="0"/>
          <w:bCs/>
          <w:sz w:val="32"/>
        </w:rPr>
      </w:pPr>
      <w:r>
        <w:rPr>
          <w:rFonts w:hint="eastAsia" w:ascii="仿宋" w:hAnsi="仿宋" w:eastAsia="仿宋" w:cs="仿宋"/>
          <w:b w:val="0"/>
          <w:bCs/>
          <w:sz w:val="32"/>
        </w:rPr>
        <w:t>1.财政拨款收入：指市级财政当年拨付的资金。</w:t>
      </w:r>
    </w:p>
    <w:p>
      <w:pPr>
        <w:ind w:firstLine="640" w:firstLineChars="200"/>
        <w:jc w:val="left"/>
        <w:rPr>
          <w:rFonts w:hint="eastAsia" w:ascii="仿宋" w:hAnsi="仿宋" w:eastAsia="仿宋" w:cs="仿宋"/>
          <w:b w:val="0"/>
          <w:bCs/>
          <w:sz w:val="32"/>
        </w:rPr>
      </w:pPr>
      <w:r>
        <w:rPr>
          <w:rFonts w:hint="eastAsia" w:ascii="仿宋" w:hAnsi="仿宋" w:eastAsia="仿宋" w:cs="仿宋"/>
          <w:b w:val="0"/>
          <w:bCs/>
          <w:sz w:val="32"/>
        </w:rPr>
        <w:t>2.上级补助收入：指事业单位从主管部门和上级单位取得的非财政补助收入。</w:t>
      </w:r>
    </w:p>
    <w:p>
      <w:pPr>
        <w:ind w:firstLine="640" w:firstLineChars="200"/>
        <w:jc w:val="left"/>
        <w:rPr>
          <w:rFonts w:hint="eastAsia" w:ascii="仿宋" w:hAnsi="仿宋" w:eastAsia="仿宋" w:cs="仿宋"/>
          <w:b w:val="0"/>
          <w:bCs/>
          <w:sz w:val="32"/>
        </w:rPr>
      </w:pPr>
      <w:r>
        <w:rPr>
          <w:rFonts w:hint="eastAsia" w:ascii="仿宋" w:hAnsi="仿宋" w:eastAsia="仿宋" w:cs="仿宋"/>
          <w:b w:val="0"/>
          <w:bCs/>
          <w:sz w:val="32"/>
        </w:rPr>
        <w:t>3.附属单位上缴收入：指已纳入部门预算管理的独立核算的附属单位按照有关规定上缴的收入。</w:t>
      </w:r>
    </w:p>
    <w:p>
      <w:pPr>
        <w:ind w:firstLine="640" w:firstLineChars="200"/>
        <w:jc w:val="left"/>
        <w:rPr>
          <w:rFonts w:hint="eastAsia" w:ascii="仿宋" w:hAnsi="仿宋" w:eastAsia="仿宋" w:cs="仿宋"/>
          <w:b w:val="0"/>
          <w:bCs/>
          <w:sz w:val="32"/>
        </w:rPr>
      </w:pPr>
      <w:r>
        <w:rPr>
          <w:rFonts w:hint="eastAsia" w:ascii="仿宋" w:hAnsi="仿宋" w:eastAsia="仿宋" w:cs="仿宋"/>
          <w:b w:val="0"/>
          <w:bCs/>
          <w:sz w:val="32"/>
        </w:rPr>
        <w:t>4. 其他收入：指除上述“财政拨款收入”、“纳入专户管理的预算外资金拨款”、“上级补助、附属单位上缴收入”以外的收入。</w:t>
      </w:r>
    </w:p>
    <w:p>
      <w:pPr>
        <w:ind w:firstLine="640" w:firstLineChars="200"/>
        <w:jc w:val="left"/>
        <w:rPr>
          <w:rFonts w:hint="eastAsia" w:ascii="仿宋" w:hAnsi="仿宋" w:eastAsia="仿宋" w:cs="仿宋"/>
          <w:b w:val="0"/>
          <w:bCs/>
          <w:sz w:val="32"/>
        </w:rPr>
      </w:pPr>
      <w:r>
        <w:rPr>
          <w:rFonts w:hint="eastAsia" w:ascii="仿宋" w:hAnsi="仿宋" w:eastAsia="仿宋" w:cs="仿宋"/>
          <w:b w:val="0"/>
          <w:bCs/>
          <w:sz w:val="32"/>
        </w:rPr>
        <w:t>5.一般公共服务（类）财政事务（款）行政运行（项）：反映行政单位（包括实行公务员管理的事业单位）的基本支出。</w:t>
      </w:r>
    </w:p>
    <w:p>
      <w:pPr>
        <w:ind w:firstLine="640" w:firstLineChars="200"/>
        <w:jc w:val="left"/>
        <w:rPr>
          <w:rFonts w:hint="eastAsia" w:ascii="仿宋" w:hAnsi="仿宋" w:eastAsia="仿宋" w:cs="仿宋"/>
          <w:b w:val="0"/>
          <w:bCs/>
          <w:sz w:val="32"/>
        </w:rPr>
      </w:pPr>
      <w:r>
        <w:rPr>
          <w:rFonts w:hint="eastAsia" w:ascii="仿宋" w:hAnsi="仿宋" w:eastAsia="仿宋" w:cs="仿宋"/>
          <w:b w:val="0"/>
          <w:bCs/>
          <w:sz w:val="32"/>
        </w:rPr>
        <w:t>6.一般公共服务（类）财政事务（款）一般行政管理事务（项）：反映行政单位（包括实行公务员管理的事业单位）未单独设置项级科目的其他项目支出。</w:t>
      </w:r>
    </w:p>
    <w:p>
      <w:pPr>
        <w:ind w:firstLine="640" w:firstLineChars="200"/>
        <w:jc w:val="left"/>
        <w:rPr>
          <w:rFonts w:hint="eastAsia" w:ascii="仿宋" w:hAnsi="仿宋" w:eastAsia="仿宋" w:cs="仿宋"/>
          <w:b w:val="0"/>
          <w:bCs/>
          <w:sz w:val="32"/>
        </w:rPr>
      </w:pPr>
      <w:r>
        <w:rPr>
          <w:rFonts w:hint="eastAsia" w:ascii="仿宋" w:hAnsi="仿宋" w:eastAsia="仿宋" w:cs="仿宋"/>
          <w:b w:val="0"/>
          <w:bCs/>
          <w:sz w:val="32"/>
        </w:rPr>
        <w:t>7.一般公共服务（类）财政事务（款）预算改革业务（项）：反映财政部门用于预算改革方面的支出。</w:t>
      </w:r>
    </w:p>
    <w:p>
      <w:pPr>
        <w:ind w:firstLine="640" w:firstLineChars="200"/>
        <w:jc w:val="left"/>
        <w:rPr>
          <w:rFonts w:hint="eastAsia" w:ascii="仿宋" w:hAnsi="仿宋" w:eastAsia="仿宋" w:cs="仿宋"/>
          <w:b w:val="0"/>
          <w:bCs/>
          <w:sz w:val="32"/>
        </w:rPr>
      </w:pPr>
      <w:r>
        <w:rPr>
          <w:rFonts w:hint="eastAsia" w:ascii="仿宋" w:hAnsi="仿宋" w:eastAsia="仿宋" w:cs="仿宋"/>
          <w:b w:val="0"/>
          <w:bCs/>
          <w:sz w:val="32"/>
        </w:rPr>
        <w:t>8.一般公共服务（类）财政事务（款）财政国库业务（项）：反映财政部门用于财政国库集中收付业务方面的支出。</w:t>
      </w:r>
    </w:p>
    <w:p>
      <w:pPr>
        <w:ind w:firstLine="640" w:firstLineChars="200"/>
        <w:jc w:val="left"/>
        <w:rPr>
          <w:rFonts w:hint="eastAsia" w:ascii="仿宋" w:hAnsi="仿宋" w:eastAsia="仿宋" w:cs="仿宋"/>
          <w:b w:val="0"/>
          <w:bCs/>
          <w:sz w:val="32"/>
        </w:rPr>
      </w:pPr>
      <w:r>
        <w:rPr>
          <w:rFonts w:hint="eastAsia" w:ascii="仿宋" w:hAnsi="仿宋" w:eastAsia="仿宋" w:cs="仿宋"/>
          <w:b w:val="0"/>
          <w:bCs/>
          <w:sz w:val="32"/>
        </w:rPr>
        <w:t>9.一般公共服务（类）财政事务（款）事业运行（项）：反映事业单位的基本支出，不包括行政单位（包括实行公务员管理的事业单位）后勤服务中心、医务室等附属事业单位。</w:t>
      </w:r>
    </w:p>
    <w:p>
      <w:pPr>
        <w:ind w:firstLine="640" w:firstLineChars="200"/>
        <w:jc w:val="left"/>
        <w:rPr>
          <w:rFonts w:hint="eastAsia" w:ascii="仿宋" w:hAnsi="仿宋" w:eastAsia="仿宋" w:cs="仿宋"/>
          <w:b w:val="0"/>
          <w:bCs/>
          <w:sz w:val="32"/>
        </w:rPr>
      </w:pPr>
      <w:r>
        <w:rPr>
          <w:rFonts w:hint="eastAsia" w:ascii="仿宋" w:hAnsi="仿宋" w:eastAsia="仿宋" w:cs="仿宋"/>
          <w:b w:val="0"/>
          <w:bCs/>
          <w:sz w:val="32"/>
        </w:rPr>
        <w:t>10.一般公共服务（类）财政事务（款）其他财政事务支出（项）：反映除上述项目以外其他财政事务方面的支出。</w:t>
      </w:r>
    </w:p>
    <w:p>
      <w:pPr>
        <w:ind w:firstLine="640" w:firstLineChars="200"/>
        <w:jc w:val="left"/>
        <w:rPr>
          <w:rFonts w:hint="eastAsia" w:ascii="仿宋" w:hAnsi="仿宋" w:eastAsia="仿宋" w:cs="仿宋"/>
          <w:b w:val="0"/>
          <w:bCs/>
          <w:sz w:val="32"/>
        </w:rPr>
      </w:pPr>
      <w:r>
        <w:rPr>
          <w:rFonts w:hint="eastAsia" w:ascii="仿宋" w:hAnsi="仿宋" w:eastAsia="仿宋" w:cs="仿宋"/>
          <w:b w:val="0"/>
          <w:bCs/>
          <w:sz w:val="32"/>
        </w:rPr>
        <w:t>11.社会保障和就业（类）行政事业单位离退休（款）归口管理的行政单位离退休（项）：反映实行归口管理的行政单位（包括实行公务员管理的事业单位）开支的离退休经费。</w:t>
      </w:r>
    </w:p>
    <w:p>
      <w:pPr>
        <w:ind w:firstLine="640" w:firstLineChars="200"/>
        <w:jc w:val="left"/>
        <w:rPr>
          <w:rFonts w:hint="eastAsia" w:ascii="仿宋" w:hAnsi="仿宋" w:eastAsia="仿宋" w:cs="仿宋"/>
          <w:b w:val="0"/>
          <w:bCs/>
          <w:sz w:val="32"/>
        </w:rPr>
      </w:pPr>
      <w:r>
        <w:rPr>
          <w:rFonts w:hint="eastAsia" w:ascii="仿宋" w:hAnsi="仿宋" w:eastAsia="仿宋" w:cs="仿宋"/>
          <w:b w:val="0"/>
          <w:bCs/>
          <w:sz w:val="32"/>
        </w:rPr>
        <w:t>12.社会保障和就业（类）行政事业单位离退休（款）事业单位离退休（项）：反映实行归口管理的事业单位开支的离退休经费。</w:t>
      </w:r>
    </w:p>
    <w:p>
      <w:pPr>
        <w:ind w:firstLine="640" w:firstLineChars="200"/>
        <w:jc w:val="left"/>
        <w:rPr>
          <w:rFonts w:hint="eastAsia" w:ascii="仿宋" w:hAnsi="仿宋" w:eastAsia="仿宋" w:cs="仿宋"/>
          <w:b w:val="0"/>
          <w:bCs/>
          <w:sz w:val="32"/>
        </w:rPr>
      </w:pPr>
      <w:r>
        <w:rPr>
          <w:rFonts w:hint="eastAsia" w:ascii="仿宋" w:hAnsi="仿宋" w:eastAsia="仿宋" w:cs="仿宋"/>
          <w:b w:val="0"/>
          <w:bCs/>
          <w:sz w:val="32"/>
        </w:rPr>
        <w:t>13.医疗卫生与计划生育（类）医疗保障（款）行政单位医疗（项）：反映财政部门集中安排的行政单位基本医疗保险缴费经费，未参加医疗保险的行政单位的公费医疗经费，按国家规定享受离休人员、红军老战士待遇人员的医疗经费。</w:t>
      </w:r>
    </w:p>
    <w:p>
      <w:pPr>
        <w:ind w:firstLine="640" w:firstLineChars="200"/>
        <w:jc w:val="left"/>
        <w:rPr>
          <w:rFonts w:hint="eastAsia" w:ascii="仿宋" w:hAnsi="仿宋" w:eastAsia="仿宋" w:cs="仿宋"/>
          <w:b w:val="0"/>
          <w:bCs/>
          <w:sz w:val="32"/>
        </w:rPr>
      </w:pPr>
      <w:r>
        <w:rPr>
          <w:rFonts w:hint="eastAsia" w:ascii="仿宋" w:hAnsi="仿宋" w:eastAsia="仿宋" w:cs="仿宋"/>
          <w:b w:val="0"/>
          <w:bCs/>
          <w:sz w:val="32"/>
        </w:rPr>
        <w:t>14.医疗卫生与计划生育（类）医疗保障（款）事业单位医疗（项）：反映财政部门集中安排的事业单位基本医疗保险缴费经费，未参加医疗保险的事业单位的公费医疗经费，按国家规定享受离休人员待遇人员的医疗经费。</w:t>
      </w:r>
    </w:p>
    <w:p>
      <w:pPr>
        <w:ind w:firstLine="640" w:firstLineChars="200"/>
        <w:jc w:val="left"/>
        <w:rPr>
          <w:rFonts w:hint="eastAsia" w:ascii="仿宋" w:hAnsi="仿宋" w:eastAsia="仿宋" w:cs="仿宋"/>
          <w:b w:val="0"/>
          <w:bCs/>
          <w:sz w:val="32"/>
        </w:rPr>
      </w:pPr>
      <w:r>
        <w:rPr>
          <w:rFonts w:hint="eastAsia" w:ascii="仿宋" w:hAnsi="仿宋" w:eastAsia="仿宋" w:cs="仿宋"/>
          <w:b w:val="0"/>
          <w:bCs/>
          <w:sz w:val="32"/>
        </w:rPr>
        <w:t>15.住房保障（类）住房改革（款）住房公积金（项）：反映行政事业单位按人力资源和社会保障部、财政部规定的基本工资和津贴补贴以及规定比例为职工缴纳的住房公积金。</w:t>
      </w:r>
    </w:p>
    <w:p>
      <w:pPr>
        <w:ind w:firstLine="640" w:firstLineChars="200"/>
        <w:jc w:val="left"/>
        <w:rPr>
          <w:rFonts w:hint="eastAsia" w:ascii="仿宋" w:hAnsi="仿宋" w:eastAsia="仿宋" w:cs="仿宋"/>
          <w:b w:val="0"/>
          <w:bCs/>
          <w:sz w:val="32"/>
        </w:rPr>
      </w:pPr>
      <w:r>
        <w:rPr>
          <w:rFonts w:hint="eastAsia" w:ascii="仿宋" w:hAnsi="仿宋" w:eastAsia="仿宋" w:cs="仿宋"/>
          <w:b w:val="0"/>
          <w:bCs/>
          <w:sz w:val="32"/>
        </w:rPr>
        <w:t>16. 基本支出：指保障机构正常运转、完成日常工作任务而发生的人员支出和公用支出。</w:t>
      </w:r>
    </w:p>
    <w:p>
      <w:pPr>
        <w:ind w:firstLine="640" w:firstLineChars="200"/>
        <w:jc w:val="left"/>
        <w:rPr>
          <w:rFonts w:hint="eastAsia" w:ascii="仿宋" w:hAnsi="仿宋" w:eastAsia="仿宋" w:cs="仿宋"/>
          <w:b w:val="0"/>
          <w:bCs/>
          <w:sz w:val="32"/>
        </w:rPr>
      </w:pPr>
      <w:r>
        <w:rPr>
          <w:rFonts w:hint="eastAsia" w:ascii="仿宋" w:hAnsi="仿宋" w:eastAsia="仿宋" w:cs="仿宋"/>
          <w:b w:val="0"/>
          <w:bCs/>
          <w:sz w:val="32"/>
        </w:rPr>
        <w:t>17. 项目支出：指在基本支出之外为完成特定行政任务和事业发展目标所发生的支出。</w:t>
      </w:r>
    </w:p>
    <w:p>
      <w:pPr>
        <w:ind w:firstLine="640" w:firstLineChars="200"/>
        <w:jc w:val="left"/>
        <w:rPr>
          <w:rFonts w:hint="eastAsia" w:ascii="仿宋" w:hAnsi="仿宋" w:eastAsia="仿宋" w:cs="仿宋"/>
          <w:b w:val="0"/>
          <w:bCs/>
          <w:sz w:val="32"/>
        </w:rPr>
      </w:pPr>
      <w:r>
        <w:rPr>
          <w:rFonts w:hint="eastAsia" w:ascii="仿宋" w:hAnsi="仿宋" w:eastAsia="仿宋" w:cs="仿宋"/>
          <w:b w:val="0"/>
          <w:bCs/>
          <w:sz w:val="32"/>
        </w:rPr>
        <w:t>18.“三公”经费：指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ind w:firstLine="640" w:firstLineChars="200"/>
        <w:jc w:val="left"/>
        <w:rPr>
          <w:rFonts w:hint="eastAsia" w:ascii="仿宋" w:hAnsi="仿宋" w:eastAsia="仿宋" w:cs="仿宋"/>
          <w:b w:val="0"/>
          <w:bCs/>
          <w:sz w:val="32"/>
        </w:rPr>
      </w:pPr>
      <w:r>
        <w:rPr>
          <w:rFonts w:hint="eastAsia" w:ascii="仿宋" w:hAnsi="仿宋" w:eastAsia="仿宋" w:cs="仿宋"/>
          <w:b w:val="0"/>
          <w:bCs/>
          <w:sz w:val="32"/>
        </w:rPr>
        <w:t>19.机关运行经费：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560" w:lineRule="exact"/>
        <w:ind w:firstLine="640" w:firstLineChars="200"/>
        <w:rPr>
          <w:rFonts w:hint="eastAsia" w:ascii="仿宋" w:hAnsi="仿宋" w:eastAsia="仿宋" w:cs="仿宋"/>
          <w:b w:val="0"/>
          <w:bCs/>
          <w:sz w:val="32"/>
          <w:szCs w:val="32"/>
        </w:rPr>
      </w:pPr>
    </w:p>
    <w:p>
      <w:pPr>
        <w:spacing w:line="560" w:lineRule="exact"/>
        <w:ind w:firstLine="640" w:firstLineChars="200"/>
        <w:rPr>
          <w:rFonts w:hint="eastAsia" w:ascii="仿宋" w:hAnsi="仿宋" w:eastAsia="仿宋" w:cs="仿宋"/>
          <w:bCs/>
          <w:sz w:val="32"/>
          <w:szCs w:val="32"/>
        </w:rPr>
      </w:pPr>
      <w:bookmarkStart w:id="0" w:name="_GoBack"/>
      <w:bookmarkEnd w:id="0"/>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modern"/>
    <w:pitch w:val="default"/>
    <w:sig w:usb0="800002BF" w:usb1="38CF7CFA" w:usb2="00000016" w:usb3="00000000" w:csb0="00040001" w:csb1="00000000"/>
  </w:font>
  <w:font w:name="等线 Light">
    <w:altName w:val="宋体"/>
    <w:panose1 w:val="00000000000000000000"/>
    <w:charset w:val="86"/>
    <w:family w:val="roman"/>
    <w:pitch w:val="default"/>
    <w:sig w:usb0="00000000" w:usb1="00000000" w:usb2="00000000" w:usb3="00000000" w:csb0="00000000" w:csb1="00000000"/>
  </w:font>
  <w:font w:name="等线">
    <w:altName w:val="宋体"/>
    <w:panose1 w:val="02010600030101010101"/>
    <w:charset w:val="86"/>
    <w:family w:val="auto"/>
    <w:pitch w:val="default"/>
    <w:sig w:usb0="00000000" w:usb1="00000000"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8"/>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1E9C"/>
    <w:rsid w:val="00003B86"/>
    <w:rsid w:val="00005C61"/>
    <w:rsid w:val="00007374"/>
    <w:rsid w:val="0001007C"/>
    <w:rsid w:val="000135F1"/>
    <w:rsid w:val="0001483D"/>
    <w:rsid w:val="00020280"/>
    <w:rsid w:val="000203EE"/>
    <w:rsid w:val="00020601"/>
    <w:rsid w:val="00020F89"/>
    <w:rsid w:val="00022BD0"/>
    <w:rsid w:val="00025826"/>
    <w:rsid w:val="00027134"/>
    <w:rsid w:val="0003345F"/>
    <w:rsid w:val="000348E0"/>
    <w:rsid w:val="000377B0"/>
    <w:rsid w:val="000403D1"/>
    <w:rsid w:val="000422BD"/>
    <w:rsid w:val="0004407E"/>
    <w:rsid w:val="00050F37"/>
    <w:rsid w:val="00053C12"/>
    <w:rsid w:val="00054609"/>
    <w:rsid w:val="00062552"/>
    <w:rsid w:val="00063CCB"/>
    <w:rsid w:val="000657CF"/>
    <w:rsid w:val="00067207"/>
    <w:rsid w:val="00071928"/>
    <w:rsid w:val="00072D1D"/>
    <w:rsid w:val="000731DA"/>
    <w:rsid w:val="00075418"/>
    <w:rsid w:val="00080CE2"/>
    <w:rsid w:val="00082C89"/>
    <w:rsid w:val="00092E2B"/>
    <w:rsid w:val="00097E1B"/>
    <w:rsid w:val="000A4ED6"/>
    <w:rsid w:val="000B4615"/>
    <w:rsid w:val="000B501F"/>
    <w:rsid w:val="000B545E"/>
    <w:rsid w:val="000C170B"/>
    <w:rsid w:val="000C446E"/>
    <w:rsid w:val="000D465A"/>
    <w:rsid w:val="000D75E6"/>
    <w:rsid w:val="000E4194"/>
    <w:rsid w:val="000E5154"/>
    <w:rsid w:val="000F1771"/>
    <w:rsid w:val="000F1AF2"/>
    <w:rsid w:val="000F432E"/>
    <w:rsid w:val="00103A49"/>
    <w:rsid w:val="0011450A"/>
    <w:rsid w:val="00123338"/>
    <w:rsid w:val="00127FF9"/>
    <w:rsid w:val="0013276F"/>
    <w:rsid w:val="001340D6"/>
    <w:rsid w:val="00134A51"/>
    <w:rsid w:val="0014240E"/>
    <w:rsid w:val="00142F1A"/>
    <w:rsid w:val="0014458B"/>
    <w:rsid w:val="001477EA"/>
    <w:rsid w:val="00147DA0"/>
    <w:rsid w:val="00163432"/>
    <w:rsid w:val="00165774"/>
    <w:rsid w:val="00165D26"/>
    <w:rsid w:val="00167C66"/>
    <w:rsid w:val="00174499"/>
    <w:rsid w:val="00175E0D"/>
    <w:rsid w:val="001773D0"/>
    <w:rsid w:val="00181A83"/>
    <w:rsid w:val="00185F4F"/>
    <w:rsid w:val="001935DD"/>
    <w:rsid w:val="00193ACC"/>
    <w:rsid w:val="00194081"/>
    <w:rsid w:val="00196F01"/>
    <w:rsid w:val="001A02BD"/>
    <w:rsid w:val="001B2405"/>
    <w:rsid w:val="001B43C5"/>
    <w:rsid w:val="001B7EF8"/>
    <w:rsid w:val="001D1181"/>
    <w:rsid w:val="001D7C9B"/>
    <w:rsid w:val="001E34DD"/>
    <w:rsid w:val="001F34E5"/>
    <w:rsid w:val="001F5749"/>
    <w:rsid w:val="0020212F"/>
    <w:rsid w:val="00202299"/>
    <w:rsid w:val="00203C87"/>
    <w:rsid w:val="00210E20"/>
    <w:rsid w:val="002172C8"/>
    <w:rsid w:val="00217EEC"/>
    <w:rsid w:val="002216D6"/>
    <w:rsid w:val="00226F33"/>
    <w:rsid w:val="00227AEA"/>
    <w:rsid w:val="002303B3"/>
    <w:rsid w:val="0023258E"/>
    <w:rsid w:val="00232D2A"/>
    <w:rsid w:val="00235096"/>
    <w:rsid w:val="002358DE"/>
    <w:rsid w:val="00235A0D"/>
    <w:rsid w:val="00235ACB"/>
    <w:rsid w:val="0023716A"/>
    <w:rsid w:val="00240B65"/>
    <w:rsid w:val="0024223F"/>
    <w:rsid w:val="002425D3"/>
    <w:rsid w:val="002429D5"/>
    <w:rsid w:val="00245345"/>
    <w:rsid w:val="00247B18"/>
    <w:rsid w:val="0025109A"/>
    <w:rsid w:val="002515F0"/>
    <w:rsid w:val="00254C19"/>
    <w:rsid w:val="0026379B"/>
    <w:rsid w:val="00264577"/>
    <w:rsid w:val="002646F4"/>
    <w:rsid w:val="00266162"/>
    <w:rsid w:val="00271C99"/>
    <w:rsid w:val="002751A6"/>
    <w:rsid w:val="00281C36"/>
    <w:rsid w:val="00286D03"/>
    <w:rsid w:val="00291E1A"/>
    <w:rsid w:val="0029307F"/>
    <w:rsid w:val="00293F41"/>
    <w:rsid w:val="002952D6"/>
    <w:rsid w:val="00295CA6"/>
    <w:rsid w:val="00296011"/>
    <w:rsid w:val="00297026"/>
    <w:rsid w:val="002A09CB"/>
    <w:rsid w:val="002A1C5B"/>
    <w:rsid w:val="002A790C"/>
    <w:rsid w:val="002B0FE2"/>
    <w:rsid w:val="002B26CB"/>
    <w:rsid w:val="002B3159"/>
    <w:rsid w:val="002B3415"/>
    <w:rsid w:val="002B35BB"/>
    <w:rsid w:val="002B748D"/>
    <w:rsid w:val="002C2C38"/>
    <w:rsid w:val="002C6C4F"/>
    <w:rsid w:val="002D159C"/>
    <w:rsid w:val="002D3FA2"/>
    <w:rsid w:val="002E0AA0"/>
    <w:rsid w:val="002E0D2F"/>
    <w:rsid w:val="002E21BB"/>
    <w:rsid w:val="002E63E5"/>
    <w:rsid w:val="002E662E"/>
    <w:rsid w:val="002F03A6"/>
    <w:rsid w:val="002F548C"/>
    <w:rsid w:val="00302442"/>
    <w:rsid w:val="00307E48"/>
    <w:rsid w:val="003102D2"/>
    <w:rsid w:val="00312005"/>
    <w:rsid w:val="00317722"/>
    <w:rsid w:val="00330D64"/>
    <w:rsid w:val="003431D9"/>
    <w:rsid w:val="00344200"/>
    <w:rsid w:val="00350B20"/>
    <w:rsid w:val="00353B78"/>
    <w:rsid w:val="00372945"/>
    <w:rsid w:val="00374685"/>
    <w:rsid w:val="003751FB"/>
    <w:rsid w:val="00376833"/>
    <w:rsid w:val="003771F2"/>
    <w:rsid w:val="003844A3"/>
    <w:rsid w:val="0038545C"/>
    <w:rsid w:val="00390B21"/>
    <w:rsid w:val="00395365"/>
    <w:rsid w:val="00397B00"/>
    <w:rsid w:val="003A1A57"/>
    <w:rsid w:val="003A35BF"/>
    <w:rsid w:val="003B0443"/>
    <w:rsid w:val="003B1E4B"/>
    <w:rsid w:val="003B3D17"/>
    <w:rsid w:val="003B6AE6"/>
    <w:rsid w:val="003C594A"/>
    <w:rsid w:val="003C6D86"/>
    <w:rsid w:val="003D23A0"/>
    <w:rsid w:val="003D520E"/>
    <w:rsid w:val="003E1B05"/>
    <w:rsid w:val="003E1D5C"/>
    <w:rsid w:val="003E40DC"/>
    <w:rsid w:val="003E52C0"/>
    <w:rsid w:val="003E5B4E"/>
    <w:rsid w:val="003E6068"/>
    <w:rsid w:val="003E709D"/>
    <w:rsid w:val="003E7927"/>
    <w:rsid w:val="003E7FA6"/>
    <w:rsid w:val="003F0914"/>
    <w:rsid w:val="003F0F57"/>
    <w:rsid w:val="003F48DE"/>
    <w:rsid w:val="003F615A"/>
    <w:rsid w:val="004033D6"/>
    <w:rsid w:val="00404E55"/>
    <w:rsid w:val="00412C0D"/>
    <w:rsid w:val="00425007"/>
    <w:rsid w:val="00430553"/>
    <w:rsid w:val="00432CD0"/>
    <w:rsid w:val="00435AE6"/>
    <w:rsid w:val="00442336"/>
    <w:rsid w:val="00443FEE"/>
    <w:rsid w:val="00446F66"/>
    <w:rsid w:val="00452701"/>
    <w:rsid w:val="004553EE"/>
    <w:rsid w:val="00455EDF"/>
    <w:rsid w:val="00457A43"/>
    <w:rsid w:val="004604BF"/>
    <w:rsid w:val="004615A2"/>
    <w:rsid w:val="00462A6A"/>
    <w:rsid w:val="0046412D"/>
    <w:rsid w:val="00465000"/>
    <w:rsid w:val="004656F9"/>
    <w:rsid w:val="00477255"/>
    <w:rsid w:val="00480066"/>
    <w:rsid w:val="004856E0"/>
    <w:rsid w:val="00486041"/>
    <w:rsid w:val="004905F3"/>
    <w:rsid w:val="00496E2D"/>
    <w:rsid w:val="004A3521"/>
    <w:rsid w:val="004A4BC6"/>
    <w:rsid w:val="004A72BD"/>
    <w:rsid w:val="004B7301"/>
    <w:rsid w:val="004C0DF8"/>
    <w:rsid w:val="004C4FBC"/>
    <w:rsid w:val="004C7EA9"/>
    <w:rsid w:val="004D0C54"/>
    <w:rsid w:val="004D0F84"/>
    <w:rsid w:val="004D1CF1"/>
    <w:rsid w:val="004D2441"/>
    <w:rsid w:val="004D5BDB"/>
    <w:rsid w:val="004D60F5"/>
    <w:rsid w:val="004D750B"/>
    <w:rsid w:val="004E5CC5"/>
    <w:rsid w:val="005006F5"/>
    <w:rsid w:val="00501868"/>
    <w:rsid w:val="00501D57"/>
    <w:rsid w:val="005035EC"/>
    <w:rsid w:val="00505285"/>
    <w:rsid w:val="00507520"/>
    <w:rsid w:val="00511821"/>
    <w:rsid w:val="005213CB"/>
    <w:rsid w:val="0052167D"/>
    <w:rsid w:val="00541233"/>
    <w:rsid w:val="00545232"/>
    <w:rsid w:val="005454AA"/>
    <w:rsid w:val="005454F7"/>
    <w:rsid w:val="00545D44"/>
    <w:rsid w:val="00547ACE"/>
    <w:rsid w:val="00556E7E"/>
    <w:rsid w:val="00562372"/>
    <w:rsid w:val="005627A1"/>
    <w:rsid w:val="00564B76"/>
    <w:rsid w:val="005654D8"/>
    <w:rsid w:val="00566294"/>
    <w:rsid w:val="00573257"/>
    <w:rsid w:val="00574008"/>
    <w:rsid w:val="005751BA"/>
    <w:rsid w:val="00577CE8"/>
    <w:rsid w:val="00580E6A"/>
    <w:rsid w:val="005815F7"/>
    <w:rsid w:val="00582B63"/>
    <w:rsid w:val="00585C0E"/>
    <w:rsid w:val="00586F68"/>
    <w:rsid w:val="00587675"/>
    <w:rsid w:val="00595AA9"/>
    <w:rsid w:val="005964A7"/>
    <w:rsid w:val="005976B7"/>
    <w:rsid w:val="005A2CCD"/>
    <w:rsid w:val="005A5BD3"/>
    <w:rsid w:val="005A637A"/>
    <w:rsid w:val="005B7609"/>
    <w:rsid w:val="005B7E01"/>
    <w:rsid w:val="005C0A43"/>
    <w:rsid w:val="005C5B59"/>
    <w:rsid w:val="005D1909"/>
    <w:rsid w:val="005D1948"/>
    <w:rsid w:val="005D4719"/>
    <w:rsid w:val="005D7D02"/>
    <w:rsid w:val="005E14C3"/>
    <w:rsid w:val="005E4FBD"/>
    <w:rsid w:val="005F008E"/>
    <w:rsid w:val="005F2CBB"/>
    <w:rsid w:val="005F3CC6"/>
    <w:rsid w:val="005F7607"/>
    <w:rsid w:val="00600E2A"/>
    <w:rsid w:val="0061003A"/>
    <w:rsid w:val="00617B63"/>
    <w:rsid w:val="00622B78"/>
    <w:rsid w:val="00623EAE"/>
    <w:rsid w:val="00625508"/>
    <w:rsid w:val="00626ECB"/>
    <w:rsid w:val="00632544"/>
    <w:rsid w:val="0063313A"/>
    <w:rsid w:val="00635CC5"/>
    <w:rsid w:val="00642D2A"/>
    <w:rsid w:val="00643746"/>
    <w:rsid w:val="006449BF"/>
    <w:rsid w:val="00645BCD"/>
    <w:rsid w:val="00646248"/>
    <w:rsid w:val="00651AAB"/>
    <w:rsid w:val="00652E57"/>
    <w:rsid w:val="00653495"/>
    <w:rsid w:val="00653D20"/>
    <w:rsid w:val="006550CC"/>
    <w:rsid w:val="0065767D"/>
    <w:rsid w:val="00663E4C"/>
    <w:rsid w:val="00666E87"/>
    <w:rsid w:val="00667DF1"/>
    <w:rsid w:val="00673958"/>
    <w:rsid w:val="00674CFF"/>
    <w:rsid w:val="006753E5"/>
    <w:rsid w:val="00677C08"/>
    <w:rsid w:val="006814DA"/>
    <w:rsid w:val="006834A6"/>
    <w:rsid w:val="006836CF"/>
    <w:rsid w:val="00685C32"/>
    <w:rsid w:val="00686FC1"/>
    <w:rsid w:val="0069162D"/>
    <w:rsid w:val="0069229F"/>
    <w:rsid w:val="006932D6"/>
    <w:rsid w:val="006950BA"/>
    <w:rsid w:val="00695E6C"/>
    <w:rsid w:val="00696767"/>
    <w:rsid w:val="006973E7"/>
    <w:rsid w:val="006A1F87"/>
    <w:rsid w:val="006A758A"/>
    <w:rsid w:val="006B15D4"/>
    <w:rsid w:val="006B5178"/>
    <w:rsid w:val="006B72AB"/>
    <w:rsid w:val="006B77CD"/>
    <w:rsid w:val="006B7863"/>
    <w:rsid w:val="006D3940"/>
    <w:rsid w:val="006E0A3B"/>
    <w:rsid w:val="006E362C"/>
    <w:rsid w:val="006F038B"/>
    <w:rsid w:val="00702735"/>
    <w:rsid w:val="00705759"/>
    <w:rsid w:val="00705F86"/>
    <w:rsid w:val="007061AC"/>
    <w:rsid w:val="00712BBC"/>
    <w:rsid w:val="007151DC"/>
    <w:rsid w:val="007174D9"/>
    <w:rsid w:val="00722A9D"/>
    <w:rsid w:val="00726D67"/>
    <w:rsid w:val="00727E42"/>
    <w:rsid w:val="00732A83"/>
    <w:rsid w:val="00740BE8"/>
    <w:rsid w:val="00740F87"/>
    <w:rsid w:val="00740F8B"/>
    <w:rsid w:val="00750753"/>
    <w:rsid w:val="00751D2D"/>
    <w:rsid w:val="007577D7"/>
    <w:rsid w:val="00757D31"/>
    <w:rsid w:val="0076277C"/>
    <w:rsid w:val="00762FC7"/>
    <w:rsid w:val="007639A3"/>
    <w:rsid w:val="00787B2B"/>
    <w:rsid w:val="00793C89"/>
    <w:rsid w:val="00794F3E"/>
    <w:rsid w:val="00796DBA"/>
    <w:rsid w:val="007A2E87"/>
    <w:rsid w:val="007B0C52"/>
    <w:rsid w:val="007B5032"/>
    <w:rsid w:val="007B589D"/>
    <w:rsid w:val="007B6FEE"/>
    <w:rsid w:val="007B7128"/>
    <w:rsid w:val="007C00D5"/>
    <w:rsid w:val="007C0E14"/>
    <w:rsid w:val="007C6648"/>
    <w:rsid w:val="007D7340"/>
    <w:rsid w:val="007E0685"/>
    <w:rsid w:val="007E1ED2"/>
    <w:rsid w:val="007E3ADE"/>
    <w:rsid w:val="007E6B18"/>
    <w:rsid w:val="007F13A2"/>
    <w:rsid w:val="007F1E1E"/>
    <w:rsid w:val="007F225C"/>
    <w:rsid w:val="007F356C"/>
    <w:rsid w:val="007F650F"/>
    <w:rsid w:val="0080073C"/>
    <w:rsid w:val="00806E6F"/>
    <w:rsid w:val="008135A2"/>
    <w:rsid w:val="008161C7"/>
    <w:rsid w:val="008325D0"/>
    <w:rsid w:val="008335DA"/>
    <w:rsid w:val="00833819"/>
    <w:rsid w:val="008403B3"/>
    <w:rsid w:val="008410B1"/>
    <w:rsid w:val="008419AC"/>
    <w:rsid w:val="00851FE2"/>
    <w:rsid w:val="00856955"/>
    <w:rsid w:val="00856A51"/>
    <w:rsid w:val="00862B0A"/>
    <w:rsid w:val="008635F8"/>
    <w:rsid w:val="00863F7F"/>
    <w:rsid w:val="00870A58"/>
    <w:rsid w:val="0087253C"/>
    <w:rsid w:val="0087254E"/>
    <w:rsid w:val="00873C9C"/>
    <w:rsid w:val="00880703"/>
    <w:rsid w:val="008839B5"/>
    <w:rsid w:val="00884384"/>
    <w:rsid w:val="00885E53"/>
    <w:rsid w:val="00886A62"/>
    <w:rsid w:val="00890F71"/>
    <w:rsid w:val="008945DF"/>
    <w:rsid w:val="00895C96"/>
    <w:rsid w:val="008A03DD"/>
    <w:rsid w:val="008A44F2"/>
    <w:rsid w:val="008B08CA"/>
    <w:rsid w:val="008B1EE5"/>
    <w:rsid w:val="008B402E"/>
    <w:rsid w:val="008B6368"/>
    <w:rsid w:val="008C0B3D"/>
    <w:rsid w:val="008C59FE"/>
    <w:rsid w:val="008D25A6"/>
    <w:rsid w:val="008D7F35"/>
    <w:rsid w:val="008E1E9C"/>
    <w:rsid w:val="008E2BCE"/>
    <w:rsid w:val="008E53A6"/>
    <w:rsid w:val="008E63A6"/>
    <w:rsid w:val="008F4391"/>
    <w:rsid w:val="008F62F5"/>
    <w:rsid w:val="00903414"/>
    <w:rsid w:val="0090377A"/>
    <w:rsid w:val="00906158"/>
    <w:rsid w:val="00914004"/>
    <w:rsid w:val="00914B9D"/>
    <w:rsid w:val="0091565F"/>
    <w:rsid w:val="0092438A"/>
    <w:rsid w:val="00924AD8"/>
    <w:rsid w:val="00930B9B"/>
    <w:rsid w:val="00932200"/>
    <w:rsid w:val="009326EB"/>
    <w:rsid w:val="009377BA"/>
    <w:rsid w:val="00937AA3"/>
    <w:rsid w:val="0094049A"/>
    <w:rsid w:val="00940949"/>
    <w:rsid w:val="00940B31"/>
    <w:rsid w:val="00944D8A"/>
    <w:rsid w:val="00945294"/>
    <w:rsid w:val="00951CAA"/>
    <w:rsid w:val="009579F1"/>
    <w:rsid w:val="009628E9"/>
    <w:rsid w:val="00962A2D"/>
    <w:rsid w:val="00963327"/>
    <w:rsid w:val="00965916"/>
    <w:rsid w:val="00967367"/>
    <w:rsid w:val="00967944"/>
    <w:rsid w:val="0097195B"/>
    <w:rsid w:val="00973073"/>
    <w:rsid w:val="00974D76"/>
    <w:rsid w:val="00975092"/>
    <w:rsid w:val="00975AAE"/>
    <w:rsid w:val="00977261"/>
    <w:rsid w:val="00977881"/>
    <w:rsid w:val="00980936"/>
    <w:rsid w:val="009875E7"/>
    <w:rsid w:val="00994B5A"/>
    <w:rsid w:val="0099520E"/>
    <w:rsid w:val="009A2802"/>
    <w:rsid w:val="009A2A02"/>
    <w:rsid w:val="009A37CD"/>
    <w:rsid w:val="009A78B6"/>
    <w:rsid w:val="009B169D"/>
    <w:rsid w:val="009B172F"/>
    <w:rsid w:val="009B54C3"/>
    <w:rsid w:val="009C2CFE"/>
    <w:rsid w:val="009C5360"/>
    <w:rsid w:val="009D36DF"/>
    <w:rsid w:val="009D7B94"/>
    <w:rsid w:val="009E3C94"/>
    <w:rsid w:val="009F0C16"/>
    <w:rsid w:val="009F789C"/>
    <w:rsid w:val="00A06B0B"/>
    <w:rsid w:val="00A11169"/>
    <w:rsid w:val="00A12D94"/>
    <w:rsid w:val="00A14724"/>
    <w:rsid w:val="00A15ECE"/>
    <w:rsid w:val="00A17934"/>
    <w:rsid w:val="00A268F4"/>
    <w:rsid w:val="00A33159"/>
    <w:rsid w:val="00A3642E"/>
    <w:rsid w:val="00A37C39"/>
    <w:rsid w:val="00A40034"/>
    <w:rsid w:val="00A42F43"/>
    <w:rsid w:val="00A43296"/>
    <w:rsid w:val="00A447E1"/>
    <w:rsid w:val="00A452B7"/>
    <w:rsid w:val="00A519DA"/>
    <w:rsid w:val="00A52FEC"/>
    <w:rsid w:val="00A56EFF"/>
    <w:rsid w:val="00A61327"/>
    <w:rsid w:val="00A6138D"/>
    <w:rsid w:val="00A619A0"/>
    <w:rsid w:val="00A73611"/>
    <w:rsid w:val="00A73614"/>
    <w:rsid w:val="00A736FC"/>
    <w:rsid w:val="00A76AC0"/>
    <w:rsid w:val="00A84745"/>
    <w:rsid w:val="00A9467B"/>
    <w:rsid w:val="00A96AB7"/>
    <w:rsid w:val="00A979AA"/>
    <w:rsid w:val="00AA1B77"/>
    <w:rsid w:val="00AA5E2D"/>
    <w:rsid w:val="00AB2B2B"/>
    <w:rsid w:val="00AB35B3"/>
    <w:rsid w:val="00AC2855"/>
    <w:rsid w:val="00AD2646"/>
    <w:rsid w:val="00AE1E90"/>
    <w:rsid w:val="00AE31C1"/>
    <w:rsid w:val="00AE4EDD"/>
    <w:rsid w:val="00AE6184"/>
    <w:rsid w:val="00AE7918"/>
    <w:rsid w:val="00AF2E9C"/>
    <w:rsid w:val="00B0447A"/>
    <w:rsid w:val="00B0587D"/>
    <w:rsid w:val="00B06665"/>
    <w:rsid w:val="00B15A7F"/>
    <w:rsid w:val="00B1663C"/>
    <w:rsid w:val="00B30C9A"/>
    <w:rsid w:val="00B34879"/>
    <w:rsid w:val="00B34A2A"/>
    <w:rsid w:val="00B37ED3"/>
    <w:rsid w:val="00B43BA5"/>
    <w:rsid w:val="00B511EC"/>
    <w:rsid w:val="00B529BB"/>
    <w:rsid w:val="00B53057"/>
    <w:rsid w:val="00B55513"/>
    <w:rsid w:val="00B577EC"/>
    <w:rsid w:val="00B607DF"/>
    <w:rsid w:val="00B678B6"/>
    <w:rsid w:val="00B70838"/>
    <w:rsid w:val="00B73877"/>
    <w:rsid w:val="00B760C2"/>
    <w:rsid w:val="00B800FF"/>
    <w:rsid w:val="00B825FD"/>
    <w:rsid w:val="00B8608F"/>
    <w:rsid w:val="00B91562"/>
    <w:rsid w:val="00B91A4F"/>
    <w:rsid w:val="00BA5D9F"/>
    <w:rsid w:val="00BB2E09"/>
    <w:rsid w:val="00BB601D"/>
    <w:rsid w:val="00BC4200"/>
    <w:rsid w:val="00BD0008"/>
    <w:rsid w:val="00BD075F"/>
    <w:rsid w:val="00BD0FF0"/>
    <w:rsid w:val="00BF0820"/>
    <w:rsid w:val="00BF1C43"/>
    <w:rsid w:val="00BF1F61"/>
    <w:rsid w:val="00C0004C"/>
    <w:rsid w:val="00C02C80"/>
    <w:rsid w:val="00C21B19"/>
    <w:rsid w:val="00C26A3C"/>
    <w:rsid w:val="00C62A39"/>
    <w:rsid w:val="00C6316C"/>
    <w:rsid w:val="00C648AF"/>
    <w:rsid w:val="00C66D22"/>
    <w:rsid w:val="00C70462"/>
    <w:rsid w:val="00C736E1"/>
    <w:rsid w:val="00C73B98"/>
    <w:rsid w:val="00C80192"/>
    <w:rsid w:val="00C83E8F"/>
    <w:rsid w:val="00C845DC"/>
    <w:rsid w:val="00C96AFB"/>
    <w:rsid w:val="00CA07AD"/>
    <w:rsid w:val="00CA45F2"/>
    <w:rsid w:val="00CA4B1F"/>
    <w:rsid w:val="00CA684F"/>
    <w:rsid w:val="00CA72E1"/>
    <w:rsid w:val="00CB5582"/>
    <w:rsid w:val="00CB6582"/>
    <w:rsid w:val="00CC319F"/>
    <w:rsid w:val="00CC3A01"/>
    <w:rsid w:val="00CC6509"/>
    <w:rsid w:val="00CC7009"/>
    <w:rsid w:val="00CC711C"/>
    <w:rsid w:val="00CD3786"/>
    <w:rsid w:val="00CD7B33"/>
    <w:rsid w:val="00CE6C48"/>
    <w:rsid w:val="00CE7894"/>
    <w:rsid w:val="00CF3256"/>
    <w:rsid w:val="00CF430F"/>
    <w:rsid w:val="00CF5772"/>
    <w:rsid w:val="00CF79BC"/>
    <w:rsid w:val="00D02F61"/>
    <w:rsid w:val="00D04907"/>
    <w:rsid w:val="00D1275C"/>
    <w:rsid w:val="00D1352A"/>
    <w:rsid w:val="00D14F3B"/>
    <w:rsid w:val="00D205EE"/>
    <w:rsid w:val="00D212A8"/>
    <w:rsid w:val="00D2253C"/>
    <w:rsid w:val="00D25ECD"/>
    <w:rsid w:val="00D304A4"/>
    <w:rsid w:val="00D30C0A"/>
    <w:rsid w:val="00D32C6C"/>
    <w:rsid w:val="00D37B57"/>
    <w:rsid w:val="00D37D1A"/>
    <w:rsid w:val="00D4153B"/>
    <w:rsid w:val="00D44BCB"/>
    <w:rsid w:val="00D44C32"/>
    <w:rsid w:val="00D459E6"/>
    <w:rsid w:val="00D4638A"/>
    <w:rsid w:val="00D5013F"/>
    <w:rsid w:val="00D52188"/>
    <w:rsid w:val="00D6623D"/>
    <w:rsid w:val="00D66506"/>
    <w:rsid w:val="00D66A00"/>
    <w:rsid w:val="00D66E12"/>
    <w:rsid w:val="00D72FEA"/>
    <w:rsid w:val="00D77EDD"/>
    <w:rsid w:val="00D77F6C"/>
    <w:rsid w:val="00D814FE"/>
    <w:rsid w:val="00D924EE"/>
    <w:rsid w:val="00D92B91"/>
    <w:rsid w:val="00D93B2A"/>
    <w:rsid w:val="00D96517"/>
    <w:rsid w:val="00DB20EE"/>
    <w:rsid w:val="00DB22CD"/>
    <w:rsid w:val="00DB2E45"/>
    <w:rsid w:val="00DB5B64"/>
    <w:rsid w:val="00DB7645"/>
    <w:rsid w:val="00DC2605"/>
    <w:rsid w:val="00DD1A2D"/>
    <w:rsid w:val="00DE11F7"/>
    <w:rsid w:val="00DE65A3"/>
    <w:rsid w:val="00DF009D"/>
    <w:rsid w:val="00DF0E02"/>
    <w:rsid w:val="00DF28BD"/>
    <w:rsid w:val="00DF4649"/>
    <w:rsid w:val="00DF60F9"/>
    <w:rsid w:val="00E041FE"/>
    <w:rsid w:val="00E044DF"/>
    <w:rsid w:val="00E055F3"/>
    <w:rsid w:val="00E05BAE"/>
    <w:rsid w:val="00E10092"/>
    <w:rsid w:val="00E179E3"/>
    <w:rsid w:val="00E21929"/>
    <w:rsid w:val="00E262DD"/>
    <w:rsid w:val="00E26581"/>
    <w:rsid w:val="00E31564"/>
    <w:rsid w:val="00E31B86"/>
    <w:rsid w:val="00E375FD"/>
    <w:rsid w:val="00E40275"/>
    <w:rsid w:val="00E47B2F"/>
    <w:rsid w:val="00E539C1"/>
    <w:rsid w:val="00E5444D"/>
    <w:rsid w:val="00E57E3D"/>
    <w:rsid w:val="00E616FC"/>
    <w:rsid w:val="00E61FA7"/>
    <w:rsid w:val="00E7348D"/>
    <w:rsid w:val="00E7507D"/>
    <w:rsid w:val="00E7652A"/>
    <w:rsid w:val="00E7653E"/>
    <w:rsid w:val="00E863BE"/>
    <w:rsid w:val="00E8653A"/>
    <w:rsid w:val="00E931CC"/>
    <w:rsid w:val="00E935B5"/>
    <w:rsid w:val="00E94A7F"/>
    <w:rsid w:val="00E95EC0"/>
    <w:rsid w:val="00EA17E8"/>
    <w:rsid w:val="00EA74AF"/>
    <w:rsid w:val="00EB186C"/>
    <w:rsid w:val="00EB2F28"/>
    <w:rsid w:val="00EB51B0"/>
    <w:rsid w:val="00EC16A2"/>
    <w:rsid w:val="00EC2A59"/>
    <w:rsid w:val="00EC45F3"/>
    <w:rsid w:val="00EC6131"/>
    <w:rsid w:val="00EC7871"/>
    <w:rsid w:val="00EC7C31"/>
    <w:rsid w:val="00ED254C"/>
    <w:rsid w:val="00ED55A3"/>
    <w:rsid w:val="00ED5E2C"/>
    <w:rsid w:val="00ED6CAA"/>
    <w:rsid w:val="00EE12C0"/>
    <w:rsid w:val="00EE2104"/>
    <w:rsid w:val="00EE6EAB"/>
    <w:rsid w:val="00EF1FF3"/>
    <w:rsid w:val="00EF2271"/>
    <w:rsid w:val="00EF2C31"/>
    <w:rsid w:val="00F017B6"/>
    <w:rsid w:val="00F02C11"/>
    <w:rsid w:val="00F05671"/>
    <w:rsid w:val="00F074B2"/>
    <w:rsid w:val="00F10A7A"/>
    <w:rsid w:val="00F10A91"/>
    <w:rsid w:val="00F1393D"/>
    <w:rsid w:val="00F1547E"/>
    <w:rsid w:val="00F2155C"/>
    <w:rsid w:val="00F25744"/>
    <w:rsid w:val="00F26448"/>
    <w:rsid w:val="00F30D72"/>
    <w:rsid w:val="00F347DB"/>
    <w:rsid w:val="00F40CB4"/>
    <w:rsid w:val="00F43A03"/>
    <w:rsid w:val="00F463A1"/>
    <w:rsid w:val="00F4707D"/>
    <w:rsid w:val="00F535F4"/>
    <w:rsid w:val="00F540C4"/>
    <w:rsid w:val="00F56541"/>
    <w:rsid w:val="00F61F18"/>
    <w:rsid w:val="00F65EB3"/>
    <w:rsid w:val="00F66273"/>
    <w:rsid w:val="00F76EC2"/>
    <w:rsid w:val="00F8104D"/>
    <w:rsid w:val="00F86311"/>
    <w:rsid w:val="00F921C6"/>
    <w:rsid w:val="00F930C6"/>
    <w:rsid w:val="00FA3EC0"/>
    <w:rsid w:val="00FB6B21"/>
    <w:rsid w:val="00FB70B1"/>
    <w:rsid w:val="00FB7435"/>
    <w:rsid w:val="00FB7AA9"/>
    <w:rsid w:val="00FC163E"/>
    <w:rsid w:val="00FC2D4E"/>
    <w:rsid w:val="00FD3F57"/>
    <w:rsid w:val="00FE1727"/>
    <w:rsid w:val="00FE5BAA"/>
    <w:rsid w:val="00FE7C26"/>
    <w:rsid w:val="00FF552C"/>
    <w:rsid w:val="00FF6584"/>
    <w:rsid w:val="00FF77F6"/>
    <w:rsid w:val="00FF7B1D"/>
    <w:rsid w:val="0ADA4A9E"/>
    <w:rsid w:val="1F846DA3"/>
    <w:rsid w:val="399D69C5"/>
    <w:rsid w:val="3B6A2AE8"/>
    <w:rsid w:val="42172469"/>
    <w:rsid w:val="54F87840"/>
    <w:rsid w:val="59623F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unhideWhenUsed/>
    <w:uiPriority w:val="1"/>
  </w:style>
  <w:style w:type="table" w:default="1" w:styleId="6">
    <w:name w:val="Normal Table"/>
    <w:unhideWhenUsed/>
    <w:qFormat/>
    <w:uiPriority w:val="99"/>
    <w:tblPr>
      <w:tblLayout w:type="fixed"/>
      <w:tblCellMar>
        <w:top w:w="0" w:type="dxa"/>
        <w:left w:w="108" w:type="dxa"/>
        <w:bottom w:w="0" w:type="dxa"/>
        <w:right w:w="108" w:type="dxa"/>
      </w:tblCellMar>
    </w:tblPr>
  </w:style>
  <w:style w:type="paragraph" w:styleId="2">
    <w:name w:val="footer"/>
    <w:basedOn w:val="1"/>
    <w:link w:val="8"/>
    <w:unhideWhenUsed/>
    <w:uiPriority w:val="99"/>
    <w:pPr>
      <w:tabs>
        <w:tab w:val="center" w:pos="4153"/>
        <w:tab w:val="right" w:pos="8306"/>
      </w:tabs>
      <w:snapToGrid w:val="0"/>
      <w:jc w:val="left"/>
    </w:pPr>
    <w:rPr>
      <w:sz w:val="18"/>
      <w:szCs w:val="18"/>
    </w:rPr>
  </w:style>
  <w:style w:type="paragraph" w:styleId="3">
    <w:name w:val="header"/>
    <w:basedOn w:val="1"/>
    <w:link w:val="7"/>
    <w:unhideWhenUsed/>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unhideWhenUsed/>
    <w:uiPriority w:val="99"/>
    <w:pPr>
      <w:widowControl/>
      <w:spacing w:before="100" w:beforeAutospacing="1" w:after="100" w:afterAutospacing="1"/>
      <w:jc w:val="left"/>
    </w:pPr>
    <w:rPr>
      <w:rFonts w:ascii="宋体" w:hAnsi="宋体" w:cs="宋体"/>
      <w:kern w:val="0"/>
      <w:sz w:val="24"/>
    </w:rPr>
  </w:style>
  <w:style w:type="character" w:customStyle="1" w:styleId="7">
    <w:name w:val="页眉 字符"/>
    <w:basedOn w:val="5"/>
    <w:link w:val="3"/>
    <w:semiHidden/>
    <w:uiPriority w:val="99"/>
    <w:rPr>
      <w:kern w:val="2"/>
      <w:sz w:val="18"/>
      <w:szCs w:val="18"/>
    </w:rPr>
  </w:style>
  <w:style w:type="character" w:customStyle="1" w:styleId="8">
    <w:name w:val="页脚 字符"/>
    <w:basedOn w:val="5"/>
    <w:link w:val="2"/>
    <w:semiHidden/>
    <w:uiPriority w:val="99"/>
    <w:rPr>
      <w:kern w:val="2"/>
      <w:sz w:val="18"/>
      <w:szCs w:val="18"/>
    </w:rPr>
  </w:style>
  <w:style w:type="paragraph"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127</Words>
  <Characters>727</Characters>
  <Lines>6</Lines>
  <Paragraphs>1</Paragraphs>
  <TotalTime>0</TotalTime>
  <ScaleCrop>false</ScaleCrop>
  <LinksUpToDate>false</LinksUpToDate>
  <CharactersWithSpaces>853</CharactersWithSpaces>
  <Application>WPS Office_10.1.0.7022_F1E327BC-269C-435d-A152-05C5408002CA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2018-01-03T07:08:00Z</dcterms:created>
  <dc:creator>Administrator</dc:creator>
  <cp:lastModifiedBy>lenovo</cp:lastModifiedBy>
  <dcterms:modified xsi:type="dcterms:W3CDTF">2018-01-03T07:27:01Z</dcterms:modified>
  <cp:revision>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2052-10.1.0.7022</vt:lpwstr>
  </property>
</Properties>
</file>