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AEC" w:rsidRDefault="004A4AEC" w:rsidP="00B81762">
      <w:pPr>
        <w:widowControl w:val="0"/>
        <w:adjustRightInd/>
        <w:snapToGrid/>
        <w:spacing w:after="0" w:line="360" w:lineRule="auto"/>
        <w:jc w:val="center"/>
        <w:rPr>
          <w:rFonts w:ascii="Calibri" w:eastAsia="宋体" w:hAnsi="Calibri" w:cs="Times New Roman" w:hint="eastAsia"/>
          <w:b/>
          <w:bCs/>
          <w:kern w:val="2"/>
          <w:sz w:val="44"/>
          <w:szCs w:val="44"/>
        </w:rPr>
      </w:pPr>
      <w:r w:rsidRPr="004A4AEC">
        <w:rPr>
          <w:rFonts w:ascii="Calibri" w:eastAsia="宋体" w:hAnsi="Calibri" w:cs="Times New Roman" w:hint="eastAsia"/>
          <w:b/>
          <w:bCs/>
          <w:kern w:val="2"/>
          <w:sz w:val="44"/>
          <w:szCs w:val="44"/>
        </w:rPr>
        <w:t>北三家子街道办事处</w:t>
      </w:r>
      <w:r>
        <w:rPr>
          <w:rFonts w:ascii="Calibri" w:eastAsia="宋体" w:hAnsi="Calibri" w:cs="Times New Roman" w:hint="eastAsia"/>
          <w:b/>
          <w:bCs/>
          <w:kern w:val="2"/>
          <w:sz w:val="44"/>
          <w:szCs w:val="44"/>
        </w:rPr>
        <w:t>决</w:t>
      </w:r>
      <w:r w:rsidRPr="004A4AEC">
        <w:rPr>
          <w:rFonts w:ascii="Calibri" w:eastAsia="宋体" w:hAnsi="Calibri" w:cs="Times New Roman" w:hint="eastAsia"/>
          <w:b/>
          <w:bCs/>
          <w:kern w:val="2"/>
          <w:sz w:val="44"/>
          <w:szCs w:val="44"/>
        </w:rPr>
        <w:t>算公开说明</w:t>
      </w:r>
    </w:p>
    <w:p w:rsidR="00B81762" w:rsidRDefault="00B81762" w:rsidP="00B81762">
      <w:pPr>
        <w:widowControl w:val="0"/>
        <w:adjustRightInd/>
        <w:snapToGrid/>
        <w:spacing w:after="0" w:line="360" w:lineRule="auto"/>
        <w:rPr>
          <w:rFonts w:asciiTheme="minorEastAsia" w:eastAsiaTheme="minorEastAsia" w:hAnsiTheme="minorEastAsia" w:cs="Times New Roman" w:hint="eastAsia"/>
          <w:b/>
          <w:bCs/>
          <w:kern w:val="2"/>
          <w:sz w:val="36"/>
          <w:szCs w:val="36"/>
        </w:rPr>
      </w:pPr>
      <w:r w:rsidRPr="00B81762">
        <w:rPr>
          <w:rFonts w:asciiTheme="minorEastAsia" w:eastAsiaTheme="minorEastAsia" w:hAnsiTheme="minorEastAsia" w:cs="Times New Roman" w:hint="eastAsia"/>
          <w:b/>
          <w:bCs/>
          <w:kern w:val="2"/>
          <w:sz w:val="36"/>
          <w:szCs w:val="36"/>
        </w:rPr>
        <w:t>一、名词解释</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t>1.财政拨款收入：</w:t>
      </w:r>
      <w:r>
        <w:rPr>
          <w:rFonts w:ascii="仿宋_GB2312" w:eastAsia="仿宋_GB2312"/>
          <w:sz w:val="32"/>
        </w:rPr>
        <w:t>指市级财政当年拨付的资金。</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t>2.上级补助收入：</w:t>
      </w:r>
      <w:r>
        <w:rPr>
          <w:rFonts w:ascii="仿宋_GB2312" w:eastAsia="仿宋_GB2312"/>
          <w:sz w:val="32"/>
        </w:rPr>
        <w:t>指单位从主管部门和上级单位取得的非财政性补助收入。</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t>3.事业收入：</w:t>
      </w:r>
      <w:r>
        <w:rPr>
          <w:rFonts w:ascii="仿宋_GB2312" w:eastAsia="仿宋_GB2312"/>
          <w:sz w:val="32"/>
        </w:rPr>
        <w:t>指事业单位开展专业业务活动及辅助活动所取得的收入。</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t>4.经营收入：</w:t>
      </w:r>
      <w:r>
        <w:rPr>
          <w:rFonts w:ascii="仿宋_GB2312" w:eastAsia="仿宋_GB2312"/>
          <w:sz w:val="32"/>
        </w:rPr>
        <w:t>指事业单位在专业业务活动及辅助活动之外开展非独立核算经营活动取得的收入。</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t>5.附属单位上缴收入：</w:t>
      </w:r>
      <w:r>
        <w:rPr>
          <w:rFonts w:ascii="仿宋_GB2312" w:eastAsia="仿宋_GB2312"/>
          <w:sz w:val="32"/>
        </w:rPr>
        <w:t>指单位附属的独立核算单位按照规定上缴的收入。</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t>6.其他收入：</w:t>
      </w:r>
      <w:r>
        <w:rPr>
          <w:rFonts w:ascii="仿宋_GB2312" w:eastAsia="仿宋_GB2312"/>
          <w:sz w:val="32"/>
        </w:rPr>
        <w:t>指除上述</w:t>
      </w:r>
      <w:r>
        <w:rPr>
          <w:rFonts w:ascii="仿宋_GB2312" w:eastAsia="仿宋_GB2312"/>
          <w:sz w:val="32"/>
        </w:rPr>
        <w:t>“</w:t>
      </w:r>
      <w:r>
        <w:rPr>
          <w:rFonts w:ascii="仿宋_GB2312" w:eastAsia="仿宋_GB2312"/>
          <w:sz w:val="32"/>
        </w:rPr>
        <w:t>财政拨款收入</w:t>
      </w:r>
      <w:r>
        <w:rPr>
          <w:rFonts w:ascii="仿宋_GB2312" w:eastAsia="仿宋_GB2312"/>
          <w:sz w:val="32"/>
        </w:rPr>
        <w:t>”</w:t>
      </w:r>
      <w:r>
        <w:rPr>
          <w:rFonts w:ascii="仿宋_GB2312" w:eastAsia="仿宋_GB2312"/>
          <w:sz w:val="32"/>
        </w:rPr>
        <w:t>、</w:t>
      </w:r>
      <w:r>
        <w:rPr>
          <w:rFonts w:ascii="仿宋_GB2312" w:eastAsia="仿宋_GB2312"/>
          <w:b/>
          <w:sz w:val="32"/>
        </w:rPr>
        <w:t xml:space="preserve"> </w:t>
      </w:r>
      <w:r>
        <w:rPr>
          <w:rFonts w:ascii="仿宋_GB2312" w:eastAsia="仿宋_GB2312"/>
          <w:sz w:val="32"/>
        </w:rPr>
        <w:t>“</w:t>
      </w:r>
      <w:r>
        <w:rPr>
          <w:rFonts w:ascii="仿宋_GB2312" w:eastAsia="仿宋_GB2312"/>
          <w:sz w:val="32"/>
        </w:rPr>
        <w:t>上级补助收入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事业收入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经营收入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附属单位上缴收入</w:t>
      </w:r>
      <w:r>
        <w:rPr>
          <w:rFonts w:ascii="仿宋_GB2312" w:eastAsia="仿宋_GB2312"/>
          <w:sz w:val="32"/>
        </w:rPr>
        <w:t>”</w:t>
      </w:r>
      <w:r>
        <w:rPr>
          <w:rFonts w:ascii="仿宋_GB2312" w:eastAsia="仿宋_GB2312"/>
          <w:sz w:val="32"/>
        </w:rPr>
        <w:t>等以外的收入。</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t>7.用事业基金弥补收支差额：</w:t>
      </w:r>
      <w:r>
        <w:rPr>
          <w:rFonts w:ascii="仿宋_GB2312" w:eastAsia="仿宋_GB2312"/>
          <w:sz w:val="32"/>
        </w:rPr>
        <w:t>指事业单位在当年的</w:t>
      </w:r>
      <w:r>
        <w:rPr>
          <w:rFonts w:ascii="仿宋_GB2312" w:eastAsia="仿宋_GB2312"/>
          <w:sz w:val="32"/>
        </w:rPr>
        <w:t>“</w:t>
      </w:r>
      <w:r>
        <w:rPr>
          <w:rFonts w:ascii="仿宋_GB2312" w:eastAsia="仿宋_GB2312"/>
          <w:sz w:val="32"/>
        </w:rPr>
        <w:t>财政拨款收入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财政拨款结转和结余资金</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上级补助收入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事业收入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经营收入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附属单位上缴收入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其他收入</w:t>
      </w:r>
      <w:r>
        <w:rPr>
          <w:rFonts w:ascii="仿宋_GB2312" w:eastAsia="仿宋_GB2312"/>
          <w:sz w:val="32"/>
        </w:rPr>
        <w:t>”</w:t>
      </w:r>
      <w:r>
        <w:rPr>
          <w:rFonts w:ascii="仿宋_GB2312" w:eastAsia="仿宋_GB2312"/>
          <w:sz w:val="32"/>
        </w:rPr>
        <w:t>不足以安排当年支出情况下，使用以前年度积累的事业基金（事业单位当年收支相抵后按国家规定提取、用于弥补以后年度收支差额的基金）弥补本年度收支缺口的资金。</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lastRenderedPageBreak/>
        <w:t>8.上年结转和结余：</w:t>
      </w:r>
      <w:r>
        <w:rPr>
          <w:rFonts w:ascii="仿宋_GB2312" w:eastAsia="仿宋_GB2312"/>
          <w:sz w:val="32"/>
        </w:rPr>
        <w:t>指以前年度尚未完成、结转到本年按有关规定继续使用的资金。</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t>9.基本支出：</w:t>
      </w:r>
      <w:r>
        <w:rPr>
          <w:rFonts w:ascii="仿宋_GB2312" w:eastAsia="仿宋_GB2312"/>
          <w:sz w:val="32"/>
        </w:rPr>
        <w:t>指保障机构正常运转、完成日常工作任务而发生的人员支出和公用支出。</w:t>
      </w:r>
    </w:p>
    <w:p w:rsidR="00B81762" w:rsidRDefault="00B81762" w:rsidP="00B81762">
      <w:pPr>
        <w:spacing w:line="560" w:lineRule="exact"/>
        <w:ind w:firstLineChars="200" w:firstLine="643"/>
        <w:rPr>
          <w:rFonts w:ascii="仿宋_GB2312" w:eastAsia="仿宋_GB2312"/>
          <w:b/>
          <w:sz w:val="32"/>
        </w:rPr>
      </w:pPr>
      <w:r>
        <w:rPr>
          <w:rFonts w:ascii="仿宋_GB2312" w:eastAsia="仿宋_GB2312"/>
          <w:b/>
          <w:sz w:val="32"/>
        </w:rPr>
        <w:t>10.项目支出：</w:t>
      </w:r>
      <w:r>
        <w:rPr>
          <w:rFonts w:ascii="仿宋_GB2312" w:eastAsia="仿宋_GB2312"/>
          <w:sz w:val="32"/>
        </w:rPr>
        <w:t>指在基本支出之外为完成特定行政任务和事业发展目标所发生的支出。</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t>11.</w:t>
      </w:r>
      <w:r>
        <w:rPr>
          <w:rFonts w:ascii="仿宋_GB2312" w:eastAsia="仿宋_GB2312"/>
          <w:b/>
          <w:sz w:val="32"/>
        </w:rPr>
        <w:t>“</w:t>
      </w:r>
      <w:r>
        <w:rPr>
          <w:rFonts w:ascii="仿宋_GB2312" w:eastAsia="仿宋_GB2312"/>
          <w:b/>
          <w:sz w:val="32"/>
        </w:rPr>
        <w:t>三公</w:t>
      </w:r>
      <w:r>
        <w:rPr>
          <w:rFonts w:ascii="仿宋_GB2312" w:eastAsia="仿宋_GB2312"/>
          <w:b/>
          <w:sz w:val="32"/>
        </w:rPr>
        <w:t>”</w:t>
      </w:r>
      <w:r>
        <w:rPr>
          <w:rFonts w:ascii="仿宋_GB2312" w:eastAsia="仿宋_GB2312"/>
          <w:b/>
          <w:sz w:val="32"/>
        </w:rPr>
        <w:t>经费：</w:t>
      </w:r>
      <w:r>
        <w:rPr>
          <w:rFonts w:ascii="仿宋_GB2312" w:eastAsia="仿宋_GB2312"/>
          <w:sz w:val="32"/>
        </w:rPr>
        <w:t>指用财政拨款安排的因公出国（境）费、公务用车购置及运行费和公务接待费。其中，因公出国（境）费反应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B81762" w:rsidRDefault="00B81762" w:rsidP="00B81762">
      <w:pPr>
        <w:spacing w:line="560" w:lineRule="exact"/>
        <w:ind w:firstLineChars="200" w:firstLine="643"/>
        <w:rPr>
          <w:rFonts w:ascii="仿宋_GB2312" w:eastAsia="仿宋_GB2312"/>
          <w:b/>
          <w:sz w:val="32"/>
        </w:rPr>
      </w:pPr>
      <w:r>
        <w:rPr>
          <w:rFonts w:ascii="仿宋_GB2312" w:eastAsia="仿宋_GB2312"/>
          <w:b/>
          <w:sz w:val="32"/>
        </w:rPr>
        <w:t>12.一般公共服务（类）财政事务（款）行政运行（项）：</w:t>
      </w:r>
      <w:r>
        <w:rPr>
          <w:rFonts w:ascii="仿宋_GB2312" w:eastAsia="仿宋_GB2312"/>
          <w:sz w:val="32"/>
        </w:rPr>
        <w:t>反映行政单位（包括实行公务员管理的事业单位）的基本支出。</w:t>
      </w:r>
    </w:p>
    <w:p w:rsidR="00B81762" w:rsidRDefault="00B81762" w:rsidP="00B81762">
      <w:pPr>
        <w:spacing w:line="560" w:lineRule="exact"/>
        <w:ind w:firstLineChars="200" w:firstLine="643"/>
        <w:rPr>
          <w:rFonts w:ascii="仿宋_GB2312" w:eastAsia="仿宋_GB2312"/>
          <w:b/>
          <w:sz w:val="32"/>
        </w:rPr>
      </w:pPr>
      <w:r>
        <w:rPr>
          <w:rFonts w:ascii="仿宋_GB2312" w:eastAsia="仿宋_GB2312"/>
          <w:b/>
          <w:sz w:val="32"/>
        </w:rPr>
        <w:t>13.一般公共服务（类）财政事务（款）一般行政管理事务（项）：</w:t>
      </w:r>
      <w:r>
        <w:rPr>
          <w:rFonts w:ascii="仿宋_GB2312" w:eastAsia="仿宋_GB2312"/>
          <w:sz w:val="32"/>
        </w:rPr>
        <w:t>反映行政单位（包括实行公务员管理的事业单位）未单独设置项级科目的其他项目支出。</w:t>
      </w:r>
    </w:p>
    <w:p w:rsidR="00B81762" w:rsidRDefault="00B81762" w:rsidP="00B81762">
      <w:pPr>
        <w:spacing w:line="560" w:lineRule="exact"/>
        <w:ind w:firstLineChars="200" w:firstLine="643"/>
        <w:rPr>
          <w:rFonts w:ascii="仿宋_GB2312" w:eastAsia="仿宋_GB2312"/>
          <w:b/>
          <w:sz w:val="32"/>
        </w:rPr>
      </w:pPr>
      <w:r>
        <w:rPr>
          <w:rFonts w:ascii="仿宋_GB2312" w:eastAsia="仿宋_GB2312"/>
          <w:b/>
          <w:sz w:val="32"/>
        </w:rPr>
        <w:t>14.一般公共服务（类）财政事务（款）预算改革业务（项）：</w:t>
      </w:r>
      <w:r>
        <w:rPr>
          <w:rFonts w:ascii="仿宋_GB2312" w:eastAsia="仿宋_GB2312"/>
          <w:sz w:val="32"/>
        </w:rPr>
        <w:t>反映财政部门用于预算改革方面的支出。</w:t>
      </w:r>
    </w:p>
    <w:p w:rsidR="00B81762" w:rsidRDefault="00B81762" w:rsidP="00B81762">
      <w:pPr>
        <w:spacing w:line="560" w:lineRule="exact"/>
        <w:ind w:firstLineChars="200" w:firstLine="643"/>
        <w:rPr>
          <w:rFonts w:ascii="仿宋_GB2312" w:eastAsia="仿宋_GB2312"/>
          <w:b/>
          <w:sz w:val="32"/>
        </w:rPr>
      </w:pPr>
      <w:r>
        <w:rPr>
          <w:rFonts w:ascii="仿宋_GB2312" w:eastAsia="仿宋_GB2312"/>
          <w:b/>
          <w:sz w:val="32"/>
        </w:rPr>
        <w:lastRenderedPageBreak/>
        <w:t>15.一般公共服务（类）财政事务（款）财政国库业务（项）：</w:t>
      </w:r>
      <w:r>
        <w:rPr>
          <w:rFonts w:ascii="仿宋_GB2312" w:eastAsia="仿宋_GB2312"/>
          <w:sz w:val="32"/>
        </w:rPr>
        <w:t>反映财政部门用于财政国库集中收付业务方面的支出。</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t>16.一般公共服务（类）财政事务（款）信息化建设支（项）：</w:t>
      </w:r>
      <w:r>
        <w:rPr>
          <w:rFonts w:ascii="仿宋_GB2312" w:eastAsia="仿宋_GB2312"/>
          <w:sz w:val="32"/>
        </w:rPr>
        <w:t>反映财政部门用于</w:t>
      </w:r>
      <w:r>
        <w:rPr>
          <w:rFonts w:ascii="仿宋_GB2312" w:eastAsia="仿宋_GB2312"/>
          <w:sz w:val="32"/>
        </w:rPr>
        <w:t>“</w:t>
      </w:r>
      <w:r>
        <w:rPr>
          <w:rFonts w:ascii="仿宋_GB2312" w:eastAsia="仿宋_GB2312"/>
          <w:sz w:val="32"/>
        </w:rPr>
        <w:t>金财工程</w:t>
      </w:r>
      <w:r>
        <w:rPr>
          <w:rFonts w:ascii="仿宋_GB2312" w:eastAsia="仿宋_GB2312"/>
          <w:sz w:val="32"/>
        </w:rPr>
        <w:t>”</w:t>
      </w:r>
      <w:r>
        <w:rPr>
          <w:rFonts w:ascii="仿宋_GB2312" w:eastAsia="仿宋_GB2312"/>
          <w:sz w:val="32"/>
        </w:rPr>
        <w:t>等信息化建设方面的支出。</w:t>
      </w:r>
    </w:p>
    <w:p w:rsidR="00B81762" w:rsidRDefault="00B81762" w:rsidP="00B81762">
      <w:pPr>
        <w:spacing w:line="560" w:lineRule="exact"/>
        <w:ind w:firstLineChars="200" w:firstLine="643"/>
        <w:rPr>
          <w:rFonts w:ascii="仿宋_GB2312" w:eastAsia="仿宋_GB2312"/>
          <w:b/>
          <w:sz w:val="32"/>
        </w:rPr>
      </w:pPr>
      <w:r>
        <w:rPr>
          <w:rFonts w:ascii="仿宋_GB2312" w:eastAsia="仿宋_GB2312"/>
          <w:b/>
          <w:sz w:val="32"/>
        </w:rPr>
        <w:t>17.一般公共服务（类）财政事务（款）事业运行（项）：</w:t>
      </w:r>
      <w:r>
        <w:rPr>
          <w:rFonts w:ascii="仿宋_GB2312" w:eastAsia="仿宋_GB2312"/>
          <w:sz w:val="32"/>
        </w:rPr>
        <w:t>反映事业单位的基本支出，不包括行政单位（包括实行公务员管理的事业单位）后勤服务中心、医务室等附属事业单位。</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t>18.一般公共服务（类）财政事务（款）其他财政事务支出（项）：</w:t>
      </w:r>
      <w:r>
        <w:rPr>
          <w:rFonts w:ascii="仿宋_GB2312" w:eastAsia="仿宋_GB2312"/>
          <w:sz w:val="32"/>
        </w:rPr>
        <w:t>反映除上述项目以外其他财政事务方面的支出。</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t>19.一般公共服务（类）其他一般公共服务支出（款）其他一般公共服务支出（项）：</w:t>
      </w:r>
      <w:r>
        <w:rPr>
          <w:rFonts w:ascii="仿宋_GB2312" w:eastAsia="仿宋_GB2312"/>
          <w:sz w:val="32"/>
        </w:rPr>
        <w:t>反映除上述项目以外的其他一般公共服务支出。</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t>20.科学技术（类）其他科学技术支出（款）其他科学技术支出（项）：</w:t>
      </w:r>
      <w:r>
        <w:rPr>
          <w:rFonts w:ascii="仿宋_GB2312" w:eastAsia="仿宋_GB2312"/>
          <w:sz w:val="32"/>
        </w:rPr>
        <w:t>反映其他用于科技方面的支出。</w:t>
      </w:r>
    </w:p>
    <w:p w:rsidR="00B81762" w:rsidRDefault="00B81762" w:rsidP="00B81762">
      <w:pPr>
        <w:spacing w:line="560" w:lineRule="exact"/>
        <w:ind w:firstLineChars="200" w:firstLine="643"/>
        <w:rPr>
          <w:rFonts w:ascii="仿宋_GB2312" w:eastAsia="仿宋_GB2312"/>
          <w:b/>
          <w:sz w:val="32"/>
        </w:rPr>
      </w:pPr>
      <w:r>
        <w:rPr>
          <w:rFonts w:ascii="仿宋_GB2312" w:eastAsia="仿宋_GB2312"/>
          <w:b/>
          <w:sz w:val="32"/>
        </w:rPr>
        <w:t>21.社会保障和就业（类）行政事业单位离退休（款）归口管理的行政单位离退休（项）：</w:t>
      </w:r>
      <w:r>
        <w:rPr>
          <w:rFonts w:ascii="仿宋_GB2312" w:eastAsia="仿宋_GB2312"/>
          <w:sz w:val="32"/>
        </w:rPr>
        <w:t>反映实行归口管理的行政单位（包括实行公务员管理的事业单位）开支的离退休经费。</w:t>
      </w:r>
    </w:p>
    <w:p w:rsidR="00B81762" w:rsidRDefault="00B81762" w:rsidP="00B81762">
      <w:pPr>
        <w:spacing w:line="560" w:lineRule="exact"/>
        <w:ind w:firstLineChars="200" w:firstLine="643"/>
        <w:rPr>
          <w:rFonts w:ascii="仿宋_GB2312" w:eastAsia="仿宋_GB2312"/>
          <w:b/>
          <w:sz w:val="32"/>
        </w:rPr>
      </w:pPr>
      <w:r>
        <w:rPr>
          <w:rFonts w:ascii="仿宋_GB2312" w:eastAsia="仿宋_GB2312"/>
          <w:b/>
          <w:sz w:val="32"/>
        </w:rPr>
        <w:lastRenderedPageBreak/>
        <w:t>22.社会保障和就业（类）行政事业单位离退休（款）事业单位离退休（项）：</w:t>
      </w:r>
      <w:r>
        <w:rPr>
          <w:rFonts w:ascii="仿宋_GB2312" w:eastAsia="仿宋_GB2312"/>
          <w:sz w:val="32"/>
        </w:rPr>
        <w:t>反映实行归口管理的事业单位开支的离退休经费。</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t>23.医疗卫生（类）医疗保障（款）行政单位医疗（项）：</w:t>
      </w:r>
      <w:r>
        <w:rPr>
          <w:rFonts w:ascii="仿宋_GB2312" w:eastAsia="仿宋_GB2312"/>
          <w:sz w:val="32"/>
        </w:rPr>
        <w:t>反映财政部门集中安排的行政单位基本医疗保险缴费经费，未参加医疗保险的行政单位的公费医疗经费，按国家规定享受离休人员、红军老战士待遇人员的医疗经费。</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t>24.医疗卫生（类）其他医疗卫生支出（款）其他医疗卫生支出（项）：</w:t>
      </w:r>
      <w:r>
        <w:rPr>
          <w:rFonts w:ascii="仿宋_GB2312" w:eastAsia="仿宋_GB2312"/>
          <w:sz w:val="32"/>
        </w:rPr>
        <w:t>反映除上述项目以外其他用于医疗卫生方面的支出。</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t>25.农林水事务（类）农业（款）其他农业支出（项）：</w:t>
      </w:r>
      <w:r>
        <w:rPr>
          <w:rFonts w:ascii="仿宋_GB2312" w:eastAsia="仿宋_GB2312"/>
          <w:sz w:val="32"/>
        </w:rPr>
        <w:t>反映其他用于农业方面的支出。</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t>26.交通运输（类）石油价格改革对交通运输的补贴（款）石油价格改革补贴其他支出（项）：</w:t>
      </w:r>
      <w:r>
        <w:rPr>
          <w:rFonts w:ascii="仿宋_GB2312" w:eastAsia="仿宋_GB2312"/>
          <w:sz w:val="32"/>
        </w:rPr>
        <w:t>反映石油价格改革财政补贴对其他方面的支出。</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t>27.资源勘探电力信息等事务（类）工业和信息产业监管支出（款）其他工业和信息产业监管支出（项）：</w:t>
      </w:r>
      <w:r>
        <w:rPr>
          <w:rFonts w:ascii="仿宋_GB2312" w:eastAsia="仿宋_GB2312"/>
          <w:sz w:val="32"/>
        </w:rPr>
        <w:t>反映其他用于工业和信息产业监管方面的支出。</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t>28.商业服务业等事务（类）商业流通事务（款）其他商业流通事务支出（项）：</w:t>
      </w:r>
      <w:r>
        <w:rPr>
          <w:rFonts w:ascii="仿宋_GB2312" w:eastAsia="仿宋_GB2312"/>
          <w:sz w:val="32"/>
        </w:rPr>
        <w:t>反映其他用于商业流通事务方面的支出。</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lastRenderedPageBreak/>
        <w:t>29. 商业服务业等事务（类）商业流通事务（款）其他涉外发展服务支出（项）：</w:t>
      </w:r>
      <w:r>
        <w:rPr>
          <w:rFonts w:ascii="仿宋_GB2312" w:eastAsia="仿宋_GB2312"/>
          <w:sz w:val="32"/>
        </w:rPr>
        <w:t>反映其他用于涉外发展服务方面的支出。</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t>30. 国土资源气象等事务（类）国土资源事务（款）其他国土资源事务支出（项）：</w:t>
      </w:r>
      <w:r>
        <w:rPr>
          <w:rFonts w:ascii="仿宋_GB2312" w:eastAsia="仿宋_GB2312"/>
          <w:sz w:val="32"/>
        </w:rPr>
        <w:t>反映其他用于国土资源事务方面的支出。</w:t>
      </w:r>
    </w:p>
    <w:p w:rsidR="00B81762" w:rsidRDefault="00B81762" w:rsidP="00B81762">
      <w:pPr>
        <w:spacing w:line="560" w:lineRule="exact"/>
        <w:ind w:firstLineChars="200" w:firstLine="643"/>
        <w:rPr>
          <w:rFonts w:ascii="仿宋_GB2312" w:eastAsia="仿宋_GB2312"/>
          <w:b/>
          <w:sz w:val="32"/>
        </w:rPr>
      </w:pPr>
      <w:r>
        <w:rPr>
          <w:rFonts w:ascii="仿宋_GB2312" w:eastAsia="仿宋_GB2312"/>
          <w:b/>
          <w:sz w:val="32"/>
        </w:rPr>
        <w:t>31.住房保障（类）住房改革（款）住房公积金（项）：</w:t>
      </w:r>
      <w:r>
        <w:rPr>
          <w:rFonts w:ascii="仿宋_GB2312" w:eastAsia="仿宋_GB2312"/>
          <w:sz w:val="32"/>
        </w:rPr>
        <w:t>反映行政事业单位按人力资源和社会保障部、财政部规定的基本工资和津贴补贴以及规定比例为职工缴纳的住房公积金。</w:t>
      </w:r>
    </w:p>
    <w:p w:rsidR="00B81762" w:rsidRDefault="00B81762" w:rsidP="00B81762">
      <w:pPr>
        <w:spacing w:line="560" w:lineRule="exact"/>
        <w:ind w:firstLineChars="200" w:firstLine="643"/>
        <w:rPr>
          <w:rFonts w:ascii="仿宋_GB2312" w:eastAsia="仿宋_GB2312"/>
          <w:sz w:val="32"/>
        </w:rPr>
      </w:pPr>
      <w:r>
        <w:rPr>
          <w:rFonts w:ascii="仿宋_GB2312" w:eastAsia="仿宋_GB2312"/>
          <w:b/>
          <w:sz w:val="32"/>
        </w:rPr>
        <w:t>32.其他支出（类）其他支出（款）其他支出（项）：</w:t>
      </w:r>
      <w:r>
        <w:rPr>
          <w:rFonts w:ascii="仿宋_GB2312" w:eastAsia="仿宋_GB2312"/>
          <w:sz w:val="32"/>
        </w:rPr>
        <w:t>反映其他不能划分到具体功能科目中的支出项目。</w:t>
      </w:r>
    </w:p>
    <w:p w:rsidR="00B81762" w:rsidRDefault="00B81762" w:rsidP="00B81762">
      <w:pPr>
        <w:spacing w:line="560" w:lineRule="exact"/>
        <w:ind w:firstLineChars="200" w:firstLine="643"/>
        <w:rPr>
          <w:rFonts w:ascii="仿宋_GB2312" w:eastAsia="仿宋_GB2312" w:hint="eastAsia"/>
          <w:sz w:val="32"/>
        </w:rPr>
      </w:pPr>
      <w:r>
        <w:rPr>
          <w:rFonts w:ascii="仿宋_GB2312" w:eastAsia="仿宋_GB2312"/>
          <w:b/>
          <w:sz w:val="32"/>
        </w:rPr>
        <w:t>33.机关运行经费：</w:t>
      </w:r>
      <w:r>
        <w:rPr>
          <w:rFonts w:ascii="仿宋_GB2312" w:eastAsia="仿宋_GB2312"/>
          <w:sz w:val="32"/>
        </w:rPr>
        <w:t>为保障行政单位（含参照公务员法管理的事业单位）运行用于购买货物和服务的各项资金，包括办公及印刷费、邮电费、差旅费、会议费、福利费、日常维护费、专用材料及一般设备购置费，办公用房水电费、办公用房取暖费、办公用房物业管理费、公务用车运行维护费以及其他费用。</w:t>
      </w:r>
    </w:p>
    <w:p w:rsidR="00DF7707" w:rsidRDefault="00DF7707" w:rsidP="00DF7707">
      <w:pPr>
        <w:spacing w:line="560" w:lineRule="exact"/>
        <w:ind w:firstLineChars="200" w:firstLine="643"/>
        <w:rPr>
          <w:rFonts w:asciiTheme="majorEastAsia" w:eastAsiaTheme="majorEastAsia" w:hAnsiTheme="majorEastAsia" w:hint="eastAsia"/>
          <w:b/>
          <w:sz w:val="32"/>
        </w:rPr>
      </w:pPr>
      <w:r w:rsidRPr="00DF7707">
        <w:rPr>
          <w:rFonts w:asciiTheme="majorEastAsia" w:eastAsiaTheme="majorEastAsia" w:hAnsiTheme="majorEastAsia" w:hint="eastAsia"/>
          <w:b/>
          <w:sz w:val="32"/>
        </w:rPr>
        <w:t>二、绩效工作开展情况说明</w:t>
      </w:r>
    </w:p>
    <w:p w:rsidR="00DF7707" w:rsidRPr="00DF7707" w:rsidRDefault="00DF7707" w:rsidP="00DF7707">
      <w:pPr>
        <w:widowControl w:val="0"/>
        <w:tabs>
          <w:tab w:val="left" w:pos="615"/>
        </w:tabs>
        <w:adjustRightInd/>
        <w:snapToGrid/>
        <w:spacing w:after="0" w:line="360" w:lineRule="auto"/>
        <w:contextualSpacing/>
        <w:mirrorIndents/>
        <w:jc w:val="both"/>
        <w:rPr>
          <w:rFonts w:asciiTheme="majorEastAsia" w:eastAsiaTheme="majorEastAsia" w:hAnsiTheme="majorEastAsia" w:cs="Times New Roman" w:hint="eastAsia"/>
          <w:kern w:val="2"/>
          <w:sz w:val="28"/>
          <w:szCs w:val="28"/>
        </w:rPr>
      </w:pPr>
      <w:r w:rsidRPr="00DF7707">
        <w:rPr>
          <w:rFonts w:asciiTheme="majorEastAsia" w:eastAsiaTheme="majorEastAsia" w:hAnsiTheme="majorEastAsia" w:cs="Times New Roman"/>
          <w:kern w:val="2"/>
          <w:sz w:val="28"/>
          <w:szCs w:val="28"/>
        </w:rPr>
        <w:tab/>
      </w:r>
      <w:r w:rsidRPr="00DF7707">
        <w:rPr>
          <w:rFonts w:asciiTheme="majorEastAsia" w:eastAsiaTheme="majorEastAsia" w:hAnsiTheme="majorEastAsia" w:cs="Times New Roman" w:hint="eastAsia"/>
          <w:kern w:val="2"/>
          <w:sz w:val="28"/>
          <w:szCs w:val="28"/>
        </w:rPr>
        <w:t>2016年北三家子街道较好地完成了各项经济指标，做到了当年财政收支平衡。为下年财政工作的顺利开展打下了良好的基础。</w:t>
      </w:r>
    </w:p>
    <w:p w:rsidR="00DF7707" w:rsidRPr="00DF7707" w:rsidRDefault="00DF7707" w:rsidP="00DF7707">
      <w:pPr>
        <w:spacing w:line="560" w:lineRule="exact"/>
        <w:ind w:firstLineChars="200" w:firstLine="643"/>
        <w:rPr>
          <w:rFonts w:asciiTheme="majorEastAsia" w:eastAsiaTheme="majorEastAsia" w:hAnsiTheme="majorEastAsia"/>
          <w:b/>
          <w:sz w:val="32"/>
        </w:rPr>
      </w:pPr>
    </w:p>
    <w:p w:rsidR="00B81762" w:rsidRDefault="00B81762" w:rsidP="00B81762"/>
    <w:p w:rsidR="00B81762" w:rsidRPr="00B81762" w:rsidRDefault="00B81762" w:rsidP="00B81762">
      <w:pPr>
        <w:widowControl w:val="0"/>
        <w:adjustRightInd/>
        <w:snapToGrid/>
        <w:spacing w:after="0"/>
        <w:rPr>
          <w:rFonts w:asciiTheme="minorEastAsia" w:eastAsiaTheme="minorEastAsia" w:hAnsiTheme="minorEastAsia" w:cs="Times New Roman" w:hint="eastAsia"/>
          <w:b/>
          <w:bCs/>
          <w:kern w:val="2"/>
          <w:sz w:val="36"/>
          <w:szCs w:val="36"/>
        </w:rPr>
      </w:pPr>
    </w:p>
    <w:p w:rsidR="00B81762" w:rsidRPr="004A4AEC" w:rsidRDefault="00B81762" w:rsidP="00B81762">
      <w:pPr>
        <w:widowControl w:val="0"/>
        <w:adjustRightInd/>
        <w:snapToGrid/>
        <w:spacing w:after="0"/>
        <w:rPr>
          <w:rFonts w:ascii="Calibri" w:eastAsia="宋体" w:hAnsi="Calibri" w:cs="Times New Roman" w:hint="eastAsia"/>
          <w:b/>
          <w:bCs/>
          <w:kern w:val="2"/>
          <w:sz w:val="13"/>
          <w:szCs w:val="13"/>
        </w:rPr>
      </w:pP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415B" w:rsidRDefault="00DF415B" w:rsidP="00B81762">
      <w:pPr>
        <w:spacing w:after="0"/>
      </w:pPr>
      <w:r>
        <w:separator/>
      </w:r>
    </w:p>
  </w:endnote>
  <w:endnote w:type="continuationSeparator" w:id="0">
    <w:p w:rsidR="00DF415B" w:rsidRDefault="00DF415B" w:rsidP="00B81762">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altName w:val="Times New Roman"/>
    <w:panose1 w:val="00000000000000000000"/>
    <w:charset w:val="00"/>
    <w:family w:val="roman"/>
    <w:notTrueType/>
    <w:pitch w:val="default"/>
    <w:sig w:usb0="00000000" w:usb1="00000000" w:usb2="00000000" w:usb3="00000000" w:csb0="00000000" w:csb1="00000000"/>
  </w:font>
  <w:font w:name="微软雅黑">
    <w:altName w:val="hakuyoxingshu7000"/>
    <w:charset w:val="86"/>
    <w:family w:val="swiss"/>
    <w:pitch w:val="variable"/>
    <w:sig w:usb0="00000000" w:usb1="2A0F3C52" w:usb2="00000016" w:usb3="00000000" w:csb0="0004001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415B" w:rsidRDefault="00DF415B" w:rsidP="00B81762">
      <w:pPr>
        <w:spacing w:after="0"/>
      </w:pPr>
      <w:r>
        <w:separator/>
      </w:r>
    </w:p>
  </w:footnote>
  <w:footnote w:type="continuationSeparator" w:id="0">
    <w:p w:rsidR="00DF415B" w:rsidRDefault="00DF415B" w:rsidP="00B81762">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6146"/>
  </w:hdrShapeDefaults>
  <w:footnotePr>
    <w:footnote w:id="-1"/>
    <w:footnote w:id="0"/>
  </w:footnotePr>
  <w:endnotePr>
    <w:endnote w:id="-1"/>
    <w:endnote w:id="0"/>
  </w:endnotePr>
  <w:compat>
    <w:useFELayout/>
  </w:compat>
  <w:rsids>
    <w:rsidRoot w:val="00D31D50"/>
    <w:rsid w:val="00323B43"/>
    <w:rsid w:val="003D37D8"/>
    <w:rsid w:val="00426133"/>
    <w:rsid w:val="004358AB"/>
    <w:rsid w:val="004A4AEC"/>
    <w:rsid w:val="008B7726"/>
    <w:rsid w:val="00A13464"/>
    <w:rsid w:val="00B81762"/>
    <w:rsid w:val="00CA2E9D"/>
    <w:rsid w:val="00D31D50"/>
    <w:rsid w:val="00DF415B"/>
    <w:rsid w:val="00DF770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81762"/>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B81762"/>
    <w:rPr>
      <w:rFonts w:ascii="Tahoma" w:hAnsi="Tahoma"/>
      <w:sz w:val="18"/>
      <w:szCs w:val="18"/>
    </w:rPr>
  </w:style>
  <w:style w:type="paragraph" w:styleId="a4">
    <w:name w:val="footer"/>
    <w:basedOn w:val="a"/>
    <w:link w:val="Char0"/>
    <w:uiPriority w:val="99"/>
    <w:semiHidden/>
    <w:unhideWhenUsed/>
    <w:rsid w:val="00B81762"/>
    <w:pPr>
      <w:tabs>
        <w:tab w:val="center" w:pos="4153"/>
        <w:tab w:val="right" w:pos="8306"/>
      </w:tabs>
    </w:pPr>
    <w:rPr>
      <w:sz w:val="18"/>
      <w:szCs w:val="18"/>
    </w:rPr>
  </w:style>
  <w:style w:type="character" w:customStyle="1" w:styleId="Char0">
    <w:name w:val="页脚 Char"/>
    <w:basedOn w:val="a0"/>
    <w:link w:val="a4"/>
    <w:uiPriority w:val="99"/>
    <w:semiHidden/>
    <w:rsid w:val="00B81762"/>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332</Words>
  <Characters>1894</Characters>
  <Application>Microsoft Office Word</Application>
  <DocSecurity>0</DocSecurity>
  <Lines>15</Lines>
  <Paragraphs>4</Paragraphs>
  <ScaleCrop>false</ScaleCrop>
  <Company/>
  <LinksUpToDate>false</LinksUpToDate>
  <CharactersWithSpaces>2222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5</cp:revision>
  <dcterms:created xsi:type="dcterms:W3CDTF">2008-09-11T17:20:00Z</dcterms:created>
  <dcterms:modified xsi:type="dcterms:W3CDTF">2017-10-25T02:56:00Z</dcterms:modified>
</cp:coreProperties>
</file>