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5EA" w:rsidRDefault="008705EA">
      <w:pPr>
        <w:adjustRightInd/>
        <w:jc w:val="center"/>
        <w:rPr>
          <w:rFonts w:ascii="黑体" w:eastAsia="黑体" w:hAnsi="黑体"/>
          <w:sz w:val="44"/>
          <w:szCs w:val="44"/>
        </w:rPr>
      </w:pPr>
      <w:r>
        <w:rPr>
          <w:rFonts w:ascii="黑体" w:eastAsia="黑体" w:hAnsi="黑体" w:hint="eastAsia"/>
          <w:sz w:val="44"/>
          <w:szCs w:val="44"/>
        </w:rPr>
        <w:t>康平县统计局</w:t>
      </w:r>
      <w:r>
        <w:rPr>
          <w:rFonts w:ascii="黑体" w:eastAsia="黑体" w:hAnsi="黑体"/>
          <w:sz w:val="44"/>
          <w:szCs w:val="44"/>
        </w:rPr>
        <w:t>2016</w:t>
      </w:r>
      <w:r>
        <w:rPr>
          <w:rFonts w:ascii="黑体" w:eastAsia="黑体" w:hAnsi="黑体" w:hint="eastAsia"/>
          <w:sz w:val="44"/>
          <w:szCs w:val="44"/>
        </w:rPr>
        <w:t>年度</w:t>
      </w:r>
    </w:p>
    <w:p w:rsidR="008705EA" w:rsidRDefault="008705EA">
      <w:pPr>
        <w:adjustRightInd/>
        <w:jc w:val="center"/>
        <w:rPr>
          <w:rFonts w:ascii="黑体" w:eastAsia="黑体" w:hAnsi="黑体"/>
          <w:sz w:val="44"/>
          <w:szCs w:val="44"/>
        </w:rPr>
      </w:pPr>
      <w:r>
        <w:rPr>
          <w:rFonts w:ascii="黑体" w:eastAsia="黑体" w:hAnsi="黑体" w:hint="eastAsia"/>
          <w:sz w:val="44"/>
          <w:szCs w:val="44"/>
        </w:rPr>
        <w:t>决算</w:t>
      </w:r>
      <w:r w:rsidR="00F70CF3">
        <w:rPr>
          <w:rFonts w:ascii="黑体" w:eastAsia="黑体" w:hAnsi="黑体" w:hint="eastAsia"/>
          <w:sz w:val="44"/>
          <w:szCs w:val="44"/>
        </w:rPr>
        <w:t>报告</w:t>
      </w:r>
    </w:p>
    <w:p w:rsidR="008705EA" w:rsidRDefault="008705EA">
      <w:pPr>
        <w:adjustRightInd/>
        <w:spacing w:after="0"/>
        <w:jc w:val="center"/>
        <w:rPr>
          <w:rFonts w:ascii="仿宋" w:eastAsia="仿宋" w:hAnsi="仿宋"/>
          <w:sz w:val="32"/>
          <w:szCs w:val="32"/>
        </w:rPr>
      </w:pPr>
    </w:p>
    <w:p w:rsidR="008705EA" w:rsidRPr="00AF4098" w:rsidRDefault="008705EA" w:rsidP="00DB6360">
      <w:pPr>
        <w:adjustRightInd/>
        <w:snapToGrid/>
        <w:spacing w:before="100" w:beforeAutospacing="1" w:after="100" w:afterAutospacing="1" w:line="375" w:lineRule="atLeast"/>
        <w:rPr>
          <w:rFonts w:ascii="仿宋_GB2312" w:eastAsia="仿宋_GB2312" w:hAnsi="宋体" w:cs="宋体"/>
          <w:sz w:val="32"/>
          <w:szCs w:val="32"/>
        </w:rPr>
      </w:pPr>
      <w:r w:rsidRPr="00AF4098">
        <w:rPr>
          <w:rFonts w:ascii="仿宋_GB2312" w:eastAsia="仿宋_GB2312" w:hAnsi="宋体" w:cs="宋体" w:hint="eastAsia"/>
          <w:sz w:val="32"/>
          <w:szCs w:val="32"/>
        </w:rPr>
        <w:t>预算绩效管理情况。</w:t>
      </w:r>
    </w:p>
    <w:p w:rsidR="008705EA" w:rsidRDefault="008705EA" w:rsidP="00F70CF3">
      <w:pPr>
        <w:adjustRightInd/>
        <w:snapToGrid/>
        <w:spacing w:before="100" w:beforeAutospacing="1" w:after="100" w:afterAutospacing="1" w:line="375" w:lineRule="atLeast"/>
        <w:ind w:firstLineChars="200" w:firstLine="640"/>
        <w:rPr>
          <w:rFonts w:ascii="仿宋_GB2312" w:eastAsia="仿宋_GB2312" w:hAnsi="宋体" w:cs="宋体" w:hint="eastAsia"/>
          <w:sz w:val="32"/>
          <w:szCs w:val="32"/>
        </w:rPr>
      </w:pPr>
      <w:r w:rsidRPr="00AF4098">
        <w:rPr>
          <w:rFonts w:ascii="仿宋_GB2312" w:eastAsia="仿宋_GB2312" w:hAnsi="宋体" w:cs="宋体"/>
          <w:sz w:val="32"/>
          <w:szCs w:val="32"/>
        </w:rPr>
        <w:t>2016</w:t>
      </w:r>
      <w:r w:rsidRPr="00AF4098">
        <w:rPr>
          <w:rFonts w:ascii="仿宋_GB2312" w:eastAsia="仿宋_GB2312" w:hAnsi="宋体" w:cs="宋体" w:hint="eastAsia"/>
          <w:sz w:val="32"/>
          <w:szCs w:val="32"/>
        </w:rPr>
        <w:t>年按照财政预算绩效相关要求扎实开展了预算绩效管理工作。</w:t>
      </w:r>
      <w:r w:rsidRPr="00AF4098">
        <w:rPr>
          <w:rFonts w:ascii="仿宋_GB2312" w:eastAsia="仿宋_GB2312" w:hAnsi="宋体" w:cs="宋体"/>
          <w:sz w:val="32"/>
          <w:szCs w:val="32"/>
        </w:rPr>
        <w:t>2016</w:t>
      </w:r>
      <w:r w:rsidRPr="00AF4098">
        <w:rPr>
          <w:rFonts w:ascii="仿宋_GB2312" w:eastAsia="仿宋_GB2312" w:hAnsi="宋体" w:cs="宋体" w:hint="eastAsia"/>
          <w:sz w:val="32"/>
          <w:szCs w:val="32"/>
        </w:rPr>
        <w:t>年</w:t>
      </w:r>
      <w:r>
        <w:rPr>
          <w:rFonts w:ascii="仿宋_GB2312" w:eastAsia="仿宋_GB2312" w:hAnsi="宋体" w:cs="宋体" w:hint="eastAsia"/>
          <w:sz w:val="32"/>
          <w:szCs w:val="32"/>
        </w:rPr>
        <w:t>重点</w:t>
      </w:r>
      <w:r w:rsidRPr="00AF4098">
        <w:rPr>
          <w:rFonts w:ascii="仿宋_GB2312" w:eastAsia="仿宋_GB2312" w:hAnsi="宋体" w:cs="宋体" w:hint="eastAsia"/>
          <w:sz w:val="32"/>
          <w:szCs w:val="32"/>
        </w:rPr>
        <w:t>完成的是第三次全国农业普查</w:t>
      </w:r>
      <w:r>
        <w:rPr>
          <w:rFonts w:ascii="仿宋_GB2312" w:eastAsia="仿宋_GB2312" w:hAnsi="宋体" w:cs="宋体" w:hint="eastAsia"/>
          <w:sz w:val="32"/>
          <w:szCs w:val="32"/>
        </w:rPr>
        <w:t>工作，按要求组建了</w:t>
      </w:r>
      <w:r w:rsidRPr="00AF4098">
        <w:rPr>
          <w:rFonts w:ascii="仿宋_GB2312" w:eastAsia="仿宋_GB2312" w:hAnsi="宋体" w:cs="宋体" w:hint="eastAsia"/>
          <w:sz w:val="32"/>
          <w:szCs w:val="32"/>
        </w:rPr>
        <w:t>县</w:t>
      </w:r>
      <w:r>
        <w:rPr>
          <w:rFonts w:ascii="仿宋_GB2312" w:eastAsia="仿宋_GB2312" w:hAnsi="宋体" w:cs="宋体" w:hint="eastAsia"/>
          <w:sz w:val="32"/>
          <w:szCs w:val="32"/>
        </w:rPr>
        <w:t>、乡、村三</w:t>
      </w:r>
      <w:r w:rsidRPr="00AF4098">
        <w:rPr>
          <w:rFonts w:ascii="仿宋_GB2312" w:eastAsia="仿宋_GB2312" w:hAnsi="宋体" w:cs="宋体" w:hint="eastAsia"/>
          <w:sz w:val="32"/>
          <w:szCs w:val="32"/>
        </w:rPr>
        <w:t>级普查领导机构，印发了《康平县第三次全国农普领导小组办公室部门工作细则》、《康平县第三次全国农业普查领导小组办公室工作规则》，明确了各成员部门职责和任务，及时开展了县</w:t>
      </w:r>
      <w:r>
        <w:rPr>
          <w:rFonts w:ascii="仿宋_GB2312" w:eastAsia="仿宋_GB2312" w:hAnsi="宋体" w:cs="宋体" w:hint="eastAsia"/>
          <w:sz w:val="32"/>
          <w:szCs w:val="32"/>
        </w:rPr>
        <w:t>、乡</w:t>
      </w:r>
      <w:r w:rsidRPr="00AF4098">
        <w:rPr>
          <w:rFonts w:ascii="仿宋_GB2312" w:eastAsia="仿宋_GB2312" w:hAnsi="宋体" w:cs="宋体" w:hint="eastAsia"/>
          <w:sz w:val="32"/>
          <w:szCs w:val="32"/>
        </w:rPr>
        <w:t>两级农普综合试点工作，拟定了康平县农普工作时间表，明确工作目标、把握时间节点；积极开展“两员”选聘及培训工作，顺利完成普查小区划分工</w:t>
      </w:r>
      <w:r>
        <w:rPr>
          <w:rFonts w:ascii="仿宋_GB2312" w:eastAsia="仿宋_GB2312" w:hAnsi="宋体" w:cs="宋体" w:hint="eastAsia"/>
          <w:sz w:val="32"/>
          <w:szCs w:val="32"/>
        </w:rPr>
        <w:t>作和清查摸底工作，为下一步正式入户登记，做好充分的前期准备工作。</w:t>
      </w:r>
      <w:r>
        <w:rPr>
          <w:rFonts w:ascii="仿宋_GB2312" w:eastAsia="仿宋_GB2312" w:hAnsi="宋体" w:cs="宋体"/>
          <w:sz w:val="32"/>
          <w:szCs w:val="32"/>
        </w:rPr>
        <w:t xml:space="preserve">    </w:t>
      </w:r>
      <w:r w:rsidRPr="00AF4098">
        <w:rPr>
          <w:rFonts w:ascii="仿宋_GB2312" w:eastAsia="仿宋_GB2312" w:hAnsi="宋体" w:cs="宋体" w:hint="eastAsia"/>
          <w:sz w:val="32"/>
          <w:szCs w:val="32"/>
        </w:rPr>
        <w:t>通过项目的开展，完成了普查调查及常规统计工作，及时反映了我县经济社会发展新动态，提升了统计反映新常态的能力。着力提升了统计数据质量，确保政策建议的真实性、准确性，为我县社会与经济各项事业的发展提供优质的统计服务。</w:t>
      </w:r>
    </w:p>
    <w:p w:rsidR="00C3223E" w:rsidRDefault="00C3223E" w:rsidP="00C3223E">
      <w:pPr>
        <w:ind w:firstLineChars="200" w:firstLine="562"/>
        <w:rPr>
          <w:b/>
          <w:bCs/>
          <w:sz w:val="28"/>
          <w:szCs w:val="28"/>
        </w:rPr>
      </w:pPr>
      <w:r>
        <w:rPr>
          <w:rFonts w:hint="eastAsia"/>
          <w:b/>
          <w:bCs/>
          <w:sz w:val="28"/>
          <w:szCs w:val="28"/>
        </w:rPr>
        <w:t>名词解释</w:t>
      </w:r>
    </w:p>
    <w:p w:rsidR="00C3223E" w:rsidRDefault="00C3223E" w:rsidP="00C3223E">
      <w:pPr>
        <w:spacing w:line="560" w:lineRule="exact"/>
        <w:ind w:firstLineChars="200" w:firstLine="643"/>
        <w:rPr>
          <w:rFonts w:ascii="仿宋_GB2312" w:eastAsia="仿宋_GB2312"/>
          <w:sz w:val="32"/>
          <w:szCs w:val="24"/>
        </w:rPr>
      </w:pPr>
      <w:r>
        <w:rPr>
          <w:rFonts w:ascii="仿宋_GB2312" w:eastAsia="仿宋_GB2312" w:hint="eastAsia"/>
          <w:b/>
          <w:sz w:val="32"/>
        </w:rPr>
        <w:lastRenderedPageBreak/>
        <w:t>1.财政拨款收入：</w:t>
      </w:r>
      <w:r>
        <w:rPr>
          <w:rFonts w:ascii="仿宋_GB2312" w:eastAsia="仿宋_GB2312" w:hint="eastAsia"/>
          <w:sz w:val="32"/>
        </w:rPr>
        <w:t>指市级财政当年拨付的资金。</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2.上级补助收入：</w:t>
      </w:r>
      <w:r>
        <w:rPr>
          <w:rFonts w:ascii="仿宋_GB2312" w:eastAsia="仿宋_GB2312" w:hint="eastAsia"/>
          <w:sz w:val="32"/>
        </w:rPr>
        <w:t>指单位从主管部门和上级单位取得的非财政性补助收入。</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3.事业收入：</w:t>
      </w:r>
      <w:r>
        <w:rPr>
          <w:rFonts w:ascii="仿宋_GB2312" w:eastAsia="仿宋_GB2312" w:hint="eastAsia"/>
          <w:sz w:val="32"/>
        </w:rPr>
        <w:t>指事业单位开展专业业务活动及辅助活动所取得的收入。</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4.经营收入：</w:t>
      </w:r>
      <w:r>
        <w:rPr>
          <w:rFonts w:ascii="仿宋_GB2312" w:eastAsia="仿宋_GB2312" w:hint="eastAsia"/>
          <w:sz w:val="32"/>
        </w:rPr>
        <w:t>指事业单位在专业业务活动及辅助活动之外开展非独立核算经营活动取得的收入。</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5.附属单位上缴收入：</w:t>
      </w:r>
      <w:r>
        <w:rPr>
          <w:rFonts w:ascii="仿宋_GB2312" w:eastAsia="仿宋_GB2312" w:hint="eastAsia"/>
          <w:sz w:val="32"/>
        </w:rPr>
        <w:t>指单位附属的独立核算单位按照规定上缴的收入。</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6.其他收入：</w:t>
      </w:r>
      <w:r>
        <w:rPr>
          <w:rFonts w:ascii="仿宋_GB2312" w:eastAsia="仿宋_GB2312" w:hint="eastAsia"/>
          <w:sz w:val="32"/>
        </w:rPr>
        <w:t>指除上述</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hint="eastAsia"/>
          <w:b/>
          <w:sz w:val="32"/>
        </w:rPr>
        <w:t xml:space="preserve"> </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等以外的收入。</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7.用事业基金弥补收支差额：</w:t>
      </w:r>
      <w:r>
        <w:rPr>
          <w:rFonts w:ascii="仿宋_GB2312" w:eastAsia="仿宋_GB2312" w:hint="eastAsia"/>
          <w:sz w:val="32"/>
        </w:rPr>
        <w:t>指事业单位在当年的</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财政拨款结转和结余资金</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其他收入</w:t>
      </w:r>
      <w:r>
        <w:rPr>
          <w:rFonts w:ascii="仿宋_GB2312" w:eastAsia="仿宋_GB2312"/>
          <w:sz w:val="32"/>
        </w:rPr>
        <w:t>”</w:t>
      </w:r>
      <w:r>
        <w:rPr>
          <w:rFonts w:ascii="仿宋_GB2312" w:eastAsia="仿宋_GB2312" w:hint="eastAsia"/>
          <w:sz w:val="32"/>
        </w:rPr>
        <w:t>不足以安排当年支出情况下，使用以前年度积累的事业基金（事业单位当年收支相抵后按国家规定提取、用于弥补以后年度收支差额的基金）弥补本年度收支缺口的资金。</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8.上年结转和结余：</w:t>
      </w:r>
      <w:r>
        <w:rPr>
          <w:rFonts w:ascii="仿宋_GB2312" w:eastAsia="仿宋_GB2312" w:hint="eastAsia"/>
          <w:sz w:val="32"/>
        </w:rPr>
        <w:t>指以前年度尚未完成、结转到本年按有关规定继续使用的资金。</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9.基本支出：</w:t>
      </w:r>
      <w:r>
        <w:rPr>
          <w:rFonts w:ascii="仿宋_GB2312" w:eastAsia="仿宋_GB2312" w:hint="eastAsia"/>
          <w:sz w:val="32"/>
        </w:rPr>
        <w:t>指保障机构正常运转、完成日常工作任务而发生的人员支出和公用支出。</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10.项目支出：</w:t>
      </w:r>
      <w:r>
        <w:rPr>
          <w:rFonts w:ascii="仿宋_GB2312" w:eastAsia="仿宋_GB2312" w:hint="eastAsia"/>
          <w:sz w:val="32"/>
        </w:rPr>
        <w:t>指在基本支出之外为完成特定行政任务和事业发展目标所发生的支出。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11.</w:t>
      </w:r>
      <w:r>
        <w:rPr>
          <w:rFonts w:ascii="仿宋_GB2312" w:eastAsia="仿宋_GB2312"/>
          <w:b/>
          <w:sz w:val="32"/>
        </w:rPr>
        <w:t>“</w:t>
      </w:r>
      <w:r>
        <w:rPr>
          <w:rFonts w:ascii="仿宋_GB2312" w:eastAsia="仿宋_GB2312" w:hint="eastAsia"/>
          <w:b/>
          <w:sz w:val="32"/>
        </w:rPr>
        <w:t>三公</w:t>
      </w:r>
      <w:r>
        <w:rPr>
          <w:rFonts w:ascii="仿宋_GB2312" w:eastAsia="仿宋_GB2312"/>
          <w:b/>
          <w:sz w:val="32"/>
        </w:rPr>
        <w:t>”</w:t>
      </w:r>
      <w:r>
        <w:rPr>
          <w:rFonts w:ascii="仿宋_GB2312" w:eastAsia="仿宋_GB2312" w:hint="eastAsia"/>
          <w:b/>
          <w:sz w:val="32"/>
        </w:rPr>
        <w:t>经费：</w:t>
      </w:r>
      <w:r>
        <w:rPr>
          <w:rFonts w:ascii="仿宋_GB2312" w:eastAsia="仿宋_GB2312" w:hint="eastAsia"/>
          <w:sz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12.一般公共服务（类）财政事务（款）行政运行（项）：</w:t>
      </w:r>
      <w:r>
        <w:rPr>
          <w:rFonts w:ascii="仿宋_GB2312" w:eastAsia="仿宋_GB2312" w:hint="eastAsia"/>
          <w:sz w:val="32"/>
        </w:rPr>
        <w:t>反映行政单位（包括实行公务员管理的事业单位）的基本支出。</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13.一般公共服务（类）财政事务（款）一般行政管理事务（项）：</w:t>
      </w:r>
      <w:r>
        <w:rPr>
          <w:rFonts w:ascii="仿宋_GB2312" w:eastAsia="仿宋_GB2312" w:hint="eastAsia"/>
          <w:sz w:val="32"/>
        </w:rPr>
        <w:t>反映行政单位（包括实行公务员管理的事业单位）未单独设置项级科目的其他项目支出。</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14.一般公共服务（类）财政事务（款）预算改革业务（项）：</w:t>
      </w:r>
      <w:r>
        <w:rPr>
          <w:rFonts w:ascii="仿宋_GB2312" w:eastAsia="仿宋_GB2312" w:hint="eastAsia"/>
          <w:sz w:val="32"/>
        </w:rPr>
        <w:t>反映财政部门用于预算改革方面的支出。</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15.一般公共服务（类）财政事务（款）财政国库业务（项）：</w:t>
      </w:r>
      <w:r>
        <w:rPr>
          <w:rFonts w:ascii="仿宋_GB2312" w:eastAsia="仿宋_GB2312" w:hint="eastAsia"/>
          <w:sz w:val="32"/>
        </w:rPr>
        <w:t>反映财政部门用于财政国库集中收付业务方面的支出。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16.一般公共服务（类）财政事务（款）信息化建设支（项）：</w:t>
      </w:r>
      <w:r>
        <w:rPr>
          <w:rFonts w:ascii="仿宋_GB2312" w:eastAsia="仿宋_GB2312" w:hint="eastAsia"/>
          <w:sz w:val="32"/>
        </w:rPr>
        <w:t>反映财政部门用于</w:t>
      </w:r>
      <w:r>
        <w:rPr>
          <w:rFonts w:ascii="仿宋_GB2312" w:eastAsia="仿宋_GB2312"/>
          <w:sz w:val="32"/>
        </w:rPr>
        <w:t>“</w:t>
      </w:r>
      <w:r>
        <w:rPr>
          <w:rFonts w:ascii="仿宋_GB2312" w:eastAsia="仿宋_GB2312" w:hint="eastAsia"/>
          <w:sz w:val="32"/>
        </w:rPr>
        <w:t>金财工程</w:t>
      </w:r>
      <w:r>
        <w:rPr>
          <w:rFonts w:ascii="仿宋_GB2312" w:eastAsia="仿宋_GB2312"/>
          <w:sz w:val="32"/>
        </w:rPr>
        <w:t>”</w:t>
      </w:r>
      <w:r>
        <w:rPr>
          <w:rFonts w:ascii="仿宋_GB2312" w:eastAsia="仿宋_GB2312" w:hint="eastAsia"/>
          <w:sz w:val="32"/>
        </w:rPr>
        <w:t>等信息化建设方面的支出。</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17.一般公共服务（类）财政事务（款）事业运行（项）：</w:t>
      </w:r>
      <w:r>
        <w:rPr>
          <w:rFonts w:ascii="仿宋_GB2312" w:eastAsia="仿宋_GB2312" w:hint="eastAsia"/>
          <w:sz w:val="32"/>
        </w:rPr>
        <w:t>反映事业单位的基本支出，不包括行政单位（包括实行公务员管理的事业单位）后勤服务中心、医务室等附属事业单位。</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18.一般公共服务（类）财政事务（款）其他财政事务支出（项）：</w:t>
      </w:r>
      <w:r>
        <w:rPr>
          <w:rFonts w:ascii="仿宋_GB2312" w:eastAsia="仿宋_GB2312" w:hint="eastAsia"/>
          <w:sz w:val="32"/>
        </w:rPr>
        <w:t>反映除上述项目以外其他财政事务方面的支出。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19.一般公共服务（类）其他一般公共服务支出（款）其他一般公共服务支出（项）：</w:t>
      </w:r>
      <w:r>
        <w:rPr>
          <w:rFonts w:ascii="仿宋_GB2312" w:eastAsia="仿宋_GB2312" w:hint="eastAsia"/>
          <w:sz w:val="32"/>
        </w:rPr>
        <w:t>反映除上述项目以外的其他一般公共服务支出。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20.科学技术（类）其他科学技术支出（款）其他科学技术支出（项）：</w:t>
      </w:r>
      <w:r>
        <w:rPr>
          <w:rFonts w:ascii="仿宋_GB2312" w:eastAsia="仿宋_GB2312" w:hint="eastAsia"/>
          <w:sz w:val="32"/>
        </w:rPr>
        <w:t>反映其他用于科技方面的支出。</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21.社会保障和就业（类）行政事业单位离退休（款）归口管理的行政单位离退休（项）：</w:t>
      </w:r>
      <w:r>
        <w:rPr>
          <w:rFonts w:ascii="仿宋_GB2312" w:eastAsia="仿宋_GB2312" w:hint="eastAsia"/>
          <w:sz w:val="32"/>
        </w:rPr>
        <w:t>反映实行归口管理的行政单位（包括实行公务员管理的事业单位）开支的离退休经费。</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22.社会保障和就业（类）行政事业单位离退休（款）事业单位离退休（项）：</w:t>
      </w:r>
      <w:r>
        <w:rPr>
          <w:rFonts w:ascii="仿宋_GB2312" w:eastAsia="仿宋_GB2312" w:hint="eastAsia"/>
          <w:sz w:val="32"/>
        </w:rPr>
        <w:t>反映实行归口管理的事业单位开支的离退休经费。</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23.医疗卫生（类）医疗保障（款）行政单位医疗（项）：</w:t>
      </w:r>
      <w:r>
        <w:rPr>
          <w:rFonts w:ascii="仿宋_GB2312" w:eastAsia="仿宋_GB2312" w:hint="eastAsia"/>
          <w:sz w:val="32"/>
        </w:rPr>
        <w:t>反映财政部门集中安排的行政单位基本医疗保险缴费经费，未参加医疗保险的行政单位的公费医疗经费，按国家规定享受离休人员、红军老战士待遇人员的医疗经费。</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24.医疗卫生（类）其他医疗卫生支出（款）其他医疗卫生支出（项）：</w:t>
      </w:r>
      <w:r>
        <w:rPr>
          <w:rFonts w:ascii="仿宋_GB2312" w:eastAsia="仿宋_GB2312" w:hint="eastAsia"/>
          <w:sz w:val="32"/>
        </w:rPr>
        <w:t>反映除上述项目以外其他用于医疗卫生方面的支出。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25.农林水事务（类）农业（款）其他农业支出（项）：</w:t>
      </w:r>
      <w:r>
        <w:rPr>
          <w:rFonts w:ascii="仿宋_GB2312" w:eastAsia="仿宋_GB2312" w:hint="eastAsia"/>
          <w:sz w:val="32"/>
        </w:rPr>
        <w:t>反映其他用于农业方面的支出。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26.交通运输（类）石油价格改革对交通运输的补贴（款）石油价格改革补贴其他支出（项）：</w:t>
      </w:r>
      <w:r>
        <w:rPr>
          <w:rFonts w:ascii="仿宋_GB2312" w:eastAsia="仿宋_GB2312" w:hint="eastAsia"/>
          <w:sz w:val="32"/>
        </w:rPr>
        <w:t>反映石油价格改革财政补贴对其他方面的支出。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27.资源勘探电力信息等事务（类）工业和信息产业监管支出（款）其他工业和信息产业监管支出（项）：</w:t>
      </w:r>
      <w:r>
        <w:rPr>
          <w:rFonts w:ascii="仿宋_GB2312" w:eastAsia="仿宋_GB2312" w:hint="eastAsia"/>
          <w:sz w:val="32"/>
        </w:rPr>
        <w:t>反映其他用于工业和信息产业监管方面的支出。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28.商业服务业等事务（类）商业流通事务（款）其他商业流通事务支出（项）：</w:t>
      </w:r>
      <w:r>
        <w:rPr>
          <w:rFonts w:ascii="仿宋_GB2312" w:eastAsia="仿宋_GB2312" w:hint="eastAsia"/>
          <w:sz w:val="32"/>
        </w:rPr>
        <w:t>反映其他用于商业流通事务方面的支出。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29. 商业服务业等事务（类）商业流通事务（款）其他涉外发展服务支出（项）：</w:t>
      </w:r>
      <w:r>
        <w:rPr>
          <w:rFonts w:ascii="仿宋_GB2312" w:eastAsia="仿宋_GB2312" w:hint="eastAsia"/>
          <w:sz w:val="32"/>
        </w:rPr>
        <w:t>反映其他用于涉外发展服务方面的支出。</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lastRenderedPageBreak/>
        <w:t>30. 国土资源气象等事务（类）国土资源事务（款）其他国土资源事务支出（项）：</w:t>
      </w:r>
      <w:r>
        <w:rPr>
          <w:rFonts w:ascii="仿宋_GB2312" w:eastAsia="仿宋_GB2312" w:hint="eastAsia"/>
          <w:sz w:val="32"/>
        </w:rPr>
        <w:t>反映其他用于国土资源事务方面的支出。</w:t>
      </w:r>
    </w:p>
    <w:p w:rsidR="00C3223E" w:rsidRDefault="00C3223E" w:rsidP="00C3223E">
      <w:pPr>
        <w:spacing w:line="560" w:lineRule="exact"/>
        <w:ind w:firstLineChars="200" w:firstLine="643"/>
        <w:rPr>
          <w:rFonts w:ascii="仿宋_GB2312" w:eastAsia="仿宋_GB2312" w:hint="eastAsia"/>
          <w:b/>
          <w:sz w:val="32"/>
        </w:rPr>
      </w:pPr>
      <w:r>
        <w:rPr>
          <w:rFonts w:ascii="仿宋_GB2312" w:eastAsia="仿宋_GB2312" w:hint="eastAsia"/>
          <w:b/>
          <w:sz w:val="32"/>
        </w:rPr>
        <w:t>31.住房保障（类）住房改革（款）住房公积金（项）：</w:t>
      </w:r>
      <w:r>
        <w:rPr>
          <w:rFonts w:ascii="仿宋_GB2312" w:eastAsia="仿宋_GB2312" w:hint="eastAsia"/>
          <w:sz w:val="32"/>
        </w:rPr>
        <w:t>反映行政事业单位按人力资源和社会保障部、财政部规定的基本工资和津贴补贴以及规定比例为职工缴纳的住房公积金。</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32.其他支出（类）其他支出（款）其他支出（项）：</w:t>
      </w:r>
      <w:r>
        <w:rPr>
          <w:rFonts w:ascii="仿宋_GB2312" w:eastAsia="仿宋_GB2312" w:hint="eastAsia"/>
          <w:sz w:val="32"/>
        </w:rPr>
        <w:t>反映其他不能划分到具体功能科目中的支出项目。</w:t>
      </w:r>
    </w:p>
    <w:p w:rsidR="00C3223E" w:rsidRDefault="00C3223E" w:rsidP="00C3223E">
      <w:pPr>
        <w:spacing w:line="560" w:lineRule="exact"/>
        <w:ind w:firstLineChars="200" w:firstLine="643"/>
        <w:rPr>
          <w:rFonts w:ascii="仿宋_GB2312" w:eastAsia="仿宋_GB2312" w:hint="eastAsia"/>
          <w:sz w:val="32"/>
        </w:rPr>
      </w:pPr>
      <w:r>
        <w:rPr>
          <w:rFonts w:ascii="仿宋_GB2312" w:eastAsia="仿宋_GB2312" w:hint="eastAsia"/>
          <w:b/>
          <w:sz w:val="32"/>
        </w:rPr>
        <w:t>33.机关运行经费：</w:t>
      </w:r>
      <w:r>
        <w:rPr>
          <w:rFonts w:ascii="仿宋_GB2312" w:eastAsia="仿宋_GB2312" w:hint="eastAsia"/>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C3223E" w:rsidRDefault="00C3223E" w:rsidP="00C3223E">
      <w:pPr>
        <w:rPr>
          <w:rFonts w:ascii="Calibri" w:eastAsia="宋体" w:hint="eastAsia"/>
          <w:sz w:val="28"/>
          <w:szCs w:val="28"/>
        </w:rPr>
      </w:pPr>
    </w:p>
    <w:p w:rsidR="00C3223E" w:rsidRDefault="00C3223E" w:rsidP="00C3223E">
      <w:pPr>
        <w:ind w:firstLineChars="200" w:firstLine="560"/>
        <w:rPr>
          <w:sz w:val="28"/>
          <w:szCs w:val="28"/>
        </w:rPr>
      </w:pPr>
    </w:p>
    <w:p w:rsidR="00C3223E" w:rsidRDefault="00C3223E" w:rsidP="00C3223E">
      <w:pPr>
        <w:jc w:val="center"/>
        <w:rPr>
          <w:rFonts w:ascii="宋体" w:hAnsi="宋体"/>
          <w:sz w:val="36"/>
          <w:szCs w:val="36"/>
        </w:rPr>
      </w:pPr>
    </w:p>
    <w:p w:rsidR="00C3223E" w:rsidRDefault="00C3223E" w:rsidP="00C3223E">
      <w:pPr>
        <w:spacing w:line="360" w:lineRule="auto"/>
        <w:ind w:firstLineChars="200" w:firstLine="640"/>
        <w:rPr>
          <w:rFonts w:ascii="仿宋" w:eastAsia="仿宋" w:hAnsi="Calibri" w:hint="eastAsia"/>
          <w:sz w:val="32"/>
          <w:szCs w:val="32"/>
        </w:rPr>
      </w:pPr>
    </w:p>
    <w:p w:rsidR="00C3223E" w:rsidRDefault="00C3223E" w:rsidP="00C3223E">
      <w:pPr>
        <w:rPr>
          <w:rFonts w:ascii="Calibri" w:eastAsia="宋体" w:hint="eastAsia"/>
          <w:sz w:val="28"/>
          <w:szCs w:val="28"/>
        </w:rPr>
      </w:pPr>
    </w:p>
    <w:p w:rsidR="00C3223E" w:rsidRPr="00F70CF3" w:rsidRDefault="00C3223E" w:rsidP="00F70CF3">
      <w:pPr>
        <w:adjustRightInd/>
        <w:snapToGrid/>
        <w:spacing w:before="100" w:beforeAutospacing="1" w:after="100" w:afterAutospacing="1" w:line="375" w:lineRule="atLeast"/>
        <w:ind w:firstLineChars="200" w:firstLine="640"/>
        <w:rPr>
          <w:rFonts w:ascii="仿宋_GB2312" w:eastAsia="仿宋_GB2312" w:hAnsi="宋体" w:cs="宋体"/>
          <w:sz w:val="32"/>
          <w:szCs w:val="32"/>
        </w:rPr>
      </w:pPr>
    </w:p>
    <w:sectPr w:rsidR="00C3223E" w:rsidRPr="00F70CF3" w:rsidSect="00D674DD">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49D1" w:rsidRDefault="003B49D1" w:rsidP="00D674DD">
      <w:pPr>
        <w:spacing w:after="0"/>
      </w:pPr>
      <w:r>
        <w:separator/>
      </w:r>
    </w:p>
  </w:endnote>
  <w:endnote w:type="continuationSeparator" w:id="0">
    <w:p w:rsidR="003B49D1" w:rsidRDefault="003B49D1" w:rsidP="00D674D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0000000000000000000"/>
    <w:charset w:val="00"/>
    <w:family w:val="roman"/>
    <w:notTrueType/>
    <w:pitch w:val="default"/>
    <w:sig w:usb0="00000000" w:usb1="00000000" w:usb2="00000000" w:usb3="00000000" w:csb0="00000000" w:csb1="00000000"/>
  </w:font>
  <w:font w:name="微软雅黑">
    <w:altName w:val="黑体"/>
    <w:panose1 w:val="00000000000000000000"/>
    <w:charset w:val="86"/>
    <w:family w:val="swiss"/>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
    <w:altName w:val="宋体"/>
    <w:panose1 w:val="00000000000000000000"/>
    <w:charset w:val="86"/>
    <w:family w:val="modern"/>
    <w:notTrueType/>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EA" w:rsidRDefault="00AE4DC8">
    <w:pPr>
      <w:pStyle w:val="a3"/>
      <w:jc w:val="center"/>
    </w:pPr>
    <w:fldSimple w:instr=" PAGE   \* MERGEFORMAT ">
      <w:r w:rsidR="00C3223E" w:rsidRPr="00C3223E">
        <w:rPr>
          <w:noProof/>
          <w:lang w:val="zh-CN"/>
        </w:rPr>
        <w:t>6</w:t>
      </w:r>
    </w:fldSimple>
  </w:p>
  <w:p w:rsidR="008705EA" w:rsidRDefault="008705E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49D1" w:rsidRDefault="003B49D1" w:rsidP="00D674DD">
      <w:pPr>
        <w:spacing w:after="0"/>
      </w:pPr>
      <w:r>
        <w:separator/>
      </w:r>
    </w:p>
  </w:footnote>
  <w:footnote w:type="continuationSeparator" w:id="0">
    <w:p w:rsidR="003B49D1" w:rsidRDefault="003B49D1" w:rsidP="00D674D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5EA" w:rsidRDefault="008705EA">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BD89CAA"/>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55C24F8E"/>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AAE0D416"/>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313C5B48"/>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E070E83E"/>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51083A6A"/>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5B2AB1A8"/>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90C07A88"/>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AFEC786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B3CE702"/>
    <w:lvl w:ilvl="0">
      <w:start w:val="1"/>
      <w:numFmt w:val="bullet"/>
      <w:lvlText w:val=""/>
      <w:lvlJc w:val="left"/>
      <w:pPr>
        <w:tabs>
          <w:tab w:val="num" w:pos="360"/>
        </w:tabs>
        <w:ind w:left="360" w:hanging="360"/>
      </w:pPr>
      <w:rPr>
        <w:rFonts w:ascii="Wingdings" w:hAnsi="Wingdings" w:hint="default"/>
      </w:rPr>
    </w:lvl>
  </w:abstractNum>
  <w:abstractNum w:abstractNumId="10">
    <w:nsid w:val="01B70450"/>
    <w:multiLevelType w:val="hybridMultilevel"/>
    <w:tmpl w:val="DC02C2E6"/>
    <w:lvl w:ilvl="0" w:tplc="9F981632">
      <w:start w:val="5"/>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1">
    <w:nsid w:val="5930D7F3"/>
    <w:multiLevelType w:val="multilevel"/>
    <w:tmpl w:val="08C278E8"/>
    <w:lvl w:ilvl="0">
      <w:start w:val="3"/>
      <w:numFmt w:val="decimal"/>
      <w:suff w:val="nothing"/>
      <w:lvlText w:val="%1、"/>
      <w:lvlJc w:val="left"/>
      <w:rPr>
        <w:rFonts w:cs="Times New Roman"/>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2">
    <w:nsid w:val="699C5AD2"/>
    <w:multiLevelType w:val="hybridMultilevel"/>
    <w:tmpl w:val="CE3A2E30"/>
    <w:lvl w:ilvl="0" w:tplc="F286966A">
      <w:start w:val="5"/>
      <w:numFmt w:val="decimal"/>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3">
    <w:nsid w:val="72347CD8"/>
    <w:multiLevelType w:val="multilevel"/>
    <w:tmpl w:val="72347CD8"/>
    <w:lvl w:ilvl="0">
      <w:start w:val="1"/>
      <w:numFmt w:val="japaneseCounting"/>
      <w:lvlText w:val="%1、"/>
      <w:lvlJc w:val="left"/>
      <w:pPr>
        <w:ind w:left="1360" w:hanging="720"/>
      </w:pPr>
      <w:rPr>
        <w:rFonts w:cs="Times New Roman" w:hint="default"/>
      </w:rPr>
    </w:lvl>
    <w:lvl w:ilvl="1">
      <w:start w:val="1"/>
      <w:numFmt w:val="lowerLetter"/>
      <w:lvlText w:val="%2)"/>
      <w:lvlJc w:val="left"/>
      <w:pPr>
        <w:ind w:left="1480" w:hanging="420"/>
      </w:pPr>
      <w:rPr>
        <w:rFonts w:cs="Times New Roman"/>
      </w:rPr>
    </w:lvl>
    <w:lvl w:ilvl="2">
      <w:start w:val="1"/>
      <w:numFmt w:val="lowerRoman"/>
      <w:lvlText w:val="%3."/>
      <w:lvlJc w:val="right"/>
      <w:pPr>
        <w:ind w:left="1900" w:hanging="420"/>
      </w:pPr>
      <w:rPr>
        <w:rFonts w:cs="Times New Roman"/>
      </w:rPr>
    </w:lvl>
    <w:lvl w:ilvl="3">
      <w:start w:val="1"/>
      <w:numFmt w:val="decimal"/>
      <w:lvlText w:val="%4."/>
      <w:lvlJc w:val="left"/>
      <w:pPr>
        <w:ind w:left="2320" w:hanging="420"/>
      </w:pPr>
      <w:rPr>
        <w:rFonts w:cs="Times New Roman"/>
      </w:rPr>
    </w:lvl>
    <w:lvl w:ilvl="4">
      <w:start w:val="1"/>
      <w:numFmt w:val="lowerLetter"/>
      <w:lvlText w:val="%5)"/>
      <w:lvlJc w:val="left"/>
      <w:pPr>
        <w:ind w:left="2740" w:hanging="420"/>
      </w:pPr>
      <w:rPr>
        <w:rFonts w:cs="Times New Roman"/>
      </w:rPr>
    </w:lvl>
    <w:lvl w:ilvl="5">
      <w:start w:val="1"/>
      <w:numFmt w:val="lowerRoman"/>
      <w:lvlText w:val="%6."/>
      <w:lvlJc w:val="right"/>
      <w:pPr>
        <w:ind w:left="3160" w:hanging="420"/>
      </w:pPr>
      <w:rPr>
        <w:rFonts w:cs="Times New Roman"/>
      </w:rPr>
    </w:lvl>
    <w:lvl w:ilvl="6">
      <w:start w:val="1"/>
      <w:numFmt w:val="decimal"/>
      <w:lvlText w:val="%7."/>
      <w:lvlJc w:val="left"/>
      <w:pPr>
        <w:ind w:left="3580" w:hanging="420"/>
      </w:pPr>
      <w:rPr>
        <w:rFonts w:cs="Times New Roman"/>
      </w:rPr>
    </w:lvl>
    <w:lvl w:ilvl="7">
      <w:start w:val="1"/>
      <w:numFmt w:val="lowerLetter"/>
      <w:lvlText w:val="%8)"/>
      <w:lvlJc w:val="left"/>
      <w:pPr>
        <w:ind w:left="4000" w:hanging="420"/>
      </w:pPr>
      <w:rPr>
        <w:rFonts w:cs="Times New Roman"/>
      </w:rPr>
    </w:lvl>
    <w:lvl w:ilvl="8">
      <w:start w:val="1"/>
      <w:numFmt w:val="lowerRoman"/>
      <w:lvlText w:val="%9."/>
      <w:lvlJc w:val="right"/>
      <w:pPr>
        <w:ind w:left="4420" w:hanging="420"/>
      </w:pPr>
      <w:rPr>
        <w:rFonts w:cs="Times New Roman"/>
      </w:rPr>
    </w:lvl>
  </w:abstractNum>
  <w:num w:numId="1">
    <w:abstractNumId w:val="13"/>
  </w:num>
  <w:num w:numId="2">
    <w:abstractNumId w:val="11"/>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0"/>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720"/>
  <w:characterSpacingControl w:val="doNotCompress"/>
  <w:noLineBreaksAfter w:lang="zh-CN" w:val="$([{£¥·‘“〈《「『【〔〖〝﹙﹛﹝＄（．［｛￡￥"/>
  <w:noLineBreaksBefore w:lang="zh-CN" w:val="!%),.:;&gt;?]}¢¨°·ˇˉ―‖’”…‰′″›℃∶、。〃〉》」』】〕〗〞︶︺︾﹀﹄﹚﹜﹞！＂％＇），．：；？］｀｜｝～￠"/>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1D50"/>
    <w:rsid w:val="00072FC7"/>
    <w:rsid w:val="00082CFA"/>
    <w:rsid w:val="000A38D2"/>
    <w:rsid w:val="000B13B9"/>
    <w:rsid w:val="000B234C"/>
    <w:rsid w:val="000D3897"/>
    <w:rsid w:val="001215B2"/>
    <w:rsid w:val="001340B7"/>
    <w:rsid w:val="001A49C1"/>
    <w:rsid w:val="0022142B"/>
    <w:rsid w:val="00231E23"/>
    <w:rsid w:val="002A0AB6"/>
    <w:rsid w:val="002E087A"/>
    <w:rsid w:val="00315E40"/>
    <w:rsid w:val="00323B43"/>
    <w:rsid w:val="00342251"/>
    <w:rsid w:val="00342DB3"/>
    <w:rsid w:val="00346DB1"/>
    <w:rsid w:val="00381D47"/>
    <w:rsid w:val="00386879"/>
    <w:rsid w:val="003A3095"/>
    <w:rsid w:val="003B49D1"/>
    <w:rsid w:val="003D37D8"/>
    <w:rsid w:val="00413D62"/>
    <w:rsid w:val="00426133"/>
    <w:rsid w:val="004358AB"/>
    <w:rsid w:val="00463126"/>
    <w:rsid w:val="004C3F3D"/>
    <w:rsid w:val="004C6D11"/>
    <w:rsid w:val="004D1C20"/>
    <w:rsid w:val="004D43CD"/>
    <w:rsid w:val="005601C9"/>
    <w:rsid w:val="00574185"/>
    <w:rsid w:val="00591F41"/>
    <w:rsid w:val="00592C6C"/>
    <w:rsid w:val="005F3097"/>
    <w:rsid w:val="00616EB3"/>
    <w:rsid w:val="0061742D"/>
    <w:rsid w:val="006271B1"/>
    <w:rsid w:val="00661890"/>
    <w:rsid w:val="006C6399"/>
    <w:rsid w:val="00791FE3"/>
    <w:rsid w:val="007A6255"/>
    <w:rsid w:val="007F44DD"/>
    <w:rsid w:val="00853AC6"/>
    <w:rsid w:val="0086795A"/>
    <w:rsid w:val="008705EA"/>
    <w:rsid w:val="008B1AD9"/>
    <w:rsid w:val="008B7726"/>
    <w:rsid w:val="009367E2"/>
    <w:rsid w:val="00941FB1"/>
    <w:rsid w:val="009575FF"/>
    <w:rsid w:val="00975C59"/>
    <w:rsid w:val="00996A98"/>
    <w:rsid w:val="009F4753"/>
    <w:rsid w:val="00A042A1"/>
    <w:rsid w:val="00A17EFF"/>
    <w:rsid w:val="00A27287"/>
    <w:rsid w:val="00AE4DC8"/>
    <w:rsid w:val="00AF4098"/>
    <w:rsid w:val="00B17AB9"/>
    <w:rsid w:val="00C159DA"/>
    <w:rsid w:val="00C25FA5"/>
    <w:rsid w:val="00C31AFC"/>
    <w:rsid w:val="00C3223E"/>
    <w:rsid w:val="00C62071"/>
    <w:rsid w:val="00CC7676"/>
    <w:rsid w:val="00D025AB"/>
    <w:rsid w:val="00D31D50"/>
    <w:rsid w:val="00D674DD"/>
    <w:rsid w:val="00DB0257"/>
    <w:rsid w:val="00DB6360"/>
    <w:rsid w:val="00DD1CA5"/>
    <w:rsid w:val="00E0051A"/>
    <w:rsid w:val="00F07681"/>
    <w:rsid w:val="00F11998"/>
    <w:rsid w:val="00F3631E"/>
    <w:rsid w:val="00F70CF3"/>
    <w:rsid w:val="00FA0D1A"/>
    <w:rsid w:val="00FC3B4D"/>
    <w:rsid w:val="00FF7D5E"/>
    <w:rsid w:val="20B14D9C"/>
    <w:rsid w:val="470B7083"/>
    <w:rsid w:val="4C5E1A87"/>
    <w:rsid w:val="55932458"/>
    <w:rsid w:val="59F02D01"/>
    <w:rsid w:val="6BD14A5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74DD"/>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D674DD"/>
    <w:pPr>
      <w:tabs>
        <w:tab w:val="center" w:pos="4153"/>
        <w:tab w:val="right" w:pos="8306"/>
      </w:tabs>
    </w:pPr>
    <w:rPr>
      <w:sz w:val="18"/>
      <w:szCs w:val="18"/>
    </w:rPr>
  </w:style>
  <w:style w:type="character" w:customStyle="1" w:styleId="Char">
    <w:name w:val="页脚 Char"/>
    <w:basedOn w:val="a0"/>
    <w:link w:val="a3"/>
    <w:uiPriority w:val="99"/>
    <w:locked/>
    <w:rsid w:val="00D674DD"/>
    <w:rPr>
      <w:rFonts w:ascii="Tahoma" w:hAnsi="Tahoma" w:cs="Times New Roman"/>
      <w:sz w:val="18"/>
      <w:szCs w:val="18"/>
    </w:rPr>
  </w:style>
  <w:style w:type="paragraph" w:styleId="a4">
    <w:name w:val="header"/>
    <w:basedOn w:val="a"/>
    <w:link w:val="Char0"/>
    <w:uiPriority w:val="99"/>
    <w:rsid w:val="00D674DD"/>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4"/>
    <w:uiPriority w:val="99"/>
    <w:semiHidden/>
    <w:locked/>
    <w:rsid w:val="00D674DD"/>
    <w:rPr>
      <w:rFonts w:ascii="Tahoma" w:hAnsi="Tahoma" w:cs="Times New Roman"/>
      <w:sz w:val="18"/>
      <w:szCs w:val="18"/>
    </w:rPr>
  </w:style>
  <w:style w:type="paragraph" w:styleId="a5">
    <w:name w:val="Normal (Web)"/>
    <w:basedOn w:val="a"/>
    <w:uiPriority w:val="99"/>
    <w:rsid w:val="00D674DD"/>
    <w:pPr>
      <w:adjustRightInd/>
      <w:snapToGrid/>
      <w:spacing w:before="100" w:beforeAutospacing="1" w:after="100" w:afterAutospacing="1"/>
    </w:pPr>
    <w:rPr>
      <w:rFonts w:ascii="宋体" w:eastAsia="宋体" w:hAnsi="宋体" w:cs="宋体"/>
      <w:sz w:val="24"/>
      <w:szCs w:val="24"/>
    </w:rPr>
  </w:style>
  <w:style w:type="paragraph" w:customStyle="1" w:styleId="ListParagraph1">
    <w:name w:val="List Paragraph1"/>
    <w:basedOn w:val="a"/>
    <w:uiPriority w:val="99"/>
    <w:rsid w:val="00D674DD"/>
    <w:pPr>
      <w:ind w:firstLineChars="200" w:firstLine="420"/>
    </w:pPr>
  </w:style>
</w:styles>
</file>

<file path=word/webSettings.xml><?xml version="1.0" encoding="utf-8"?>
<w:webSettings xmlns:r="http://schemas.openxmlformats.org/officeDocument/2006/relationships" xmlns:w="http://schemas.openxmlformats.org/wordprocessingml/2006/main">
  <w:divs>
    <w:div w:id="51407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康平县发展和改革局2016年度</dc:title>
  <dc:subject/>
  <dc:creator>Administrator</dc:creator>
  <cp:keywords/>
  <dc:description/>
  <cp:lastModifiedBy>Administrator</cp:lastModifiedBy>
  <cp:revision>15</cp:revision>
  <dcterms:created xsi:type="dcterms:W3CDTF">2017-06-05T02:50:00Z</dcterms:created>
  <dcterms:modified xsi:type="dcterms:W3CDTF">2017-10-26T07:47:00Z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