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FC8" w:rsidRDefault="00B651B7">
      <w:pPr>
        <w:adjustRightInd/>
        <w:jc w:val="center"/>
        <w:rPr>
          <w:rFonts w:ascii="黑体" w:eastAsia="黑体" w:hAnsi="黑体"/>
          <w:sz w:val="44"/>
          <w:szCs w:val="44"/>
        </w:rPr>
      </w:pPr>
      <w:r>
        <w:rPr>
          <w:rFonts w:ascii="黑体" w:eastAsia="黑体" w:hAnsi="黑体" w:hint="eastAsia"/>
          <w:sz w:val="44"/>
          <w:szCs w:val="44"/>
        </w:rPr>
        <w:t>康平县发改局</w:t>
      </w:r>
      <w:r>
        <w:rPr>
          <w:rFonts w:ascii="黑体" w:eastAsia="黑体" w:hAnsi="黑体"/>
          <w:sz w:val="44"/>
          <w:szCs w:val="44"/>
        </w:rPr>
        <w:t>2016</w:t>
      </w:r>
      <w:r>
        <w:rPr>
          <w:rFonts w:ascii="黑体" w:eastAsia="黑体" w:hAnsi="黑体" w:hint="eastAsia"/>
          <w:sz w:val="44"/>
          <w:szCs w:val="44"/>
        </w:rPr>
        <w:t>年度</w:t>
      </w:r>
    </w:p>
    <w:p w:rsidR="00370FC8" w:rsidRDefault="0020378A">
      <w:pPr>
        <w:adjustRightInd/>
        <w:jc w:val="center"/>
        <w:rPr>
          <w:rFonts w:ascii="黑体" w:eastAsia="黑体" w:hAnsi="黑体"/>
          <w:sz w:val="44"/>
          <w:szCs w:val="44"/>
        </w:rPr>
      </w:pPr>
      <w:r>
        <w:rPr>
          <w:rFonts w:ascii="黑体" w:eastAsia="黑体" w:hAnsi="黑体" w:hint="eastAsia"/>
          <w:sz w:val="44"/>
          <w:szCs w:val="44"/>
        </w:rPr>
        <w:t>绩效评价报告</w:t>
      </w:r>
    </w:p>
    <w:p w:rsidR="00370FC8" w:rsidRDefault="00370FC8">
      <w:pPr>
        <w:adjustRightInd/>
        <w:spacing w:after="0"/>
        <w:jc w:val="center"/>
        <w:rPr>
          <w:rFonts w:ascii="仿宋" w:eastAsia="仿宋" w:hAnsi="仿宋"/>
          <w:sz w:val="32"/>
          <w:szCs w:val="32"/>
        </w:rPr>
      </w:pPr>
    </w:p>
    <w:p w:rsidR="00370FC8" w:rsidRDefault="00B651B7">
      <w:pPr>
        <w:adjustRightInd/>
        <w:snapToGrid/>
        <w:spacing w:before="100" w:beforeAutospacing="1" w:after="100" w:afterAutospacing="1" w:line="375" w:lineRule="atLeast"/>
        <w:ind w:firstLineChars="200" w:firstLine="640"/>
        <w:rPr>
          <w:rFonts w:ascii="仿宋_GB2312" w:eastAsia="仿宋_GB2312" w:hAnsi="宋体" w:cs="宋体"/>
          <w:bCs/>
          <w:sz w:val="32"/>
          <w:szCs w:val="32"/>
        </w:rPr>
      </w:pPr>
      <w:r>
        <w:rPr>
          <w:rFonts w:ascii="仿宋_GB2312" w:eastAsia="仿宋_GB2312" w:hAnsi="宋体" w:cs="宋体" w:hint="eastAsia"/>
          <w:sz w:val="32"/>
          <w:szCs w:val="32"/>
        </w:rPr>
        <w:t>预算绩效管理情况。</w:t>
      </w:r>
    </w:p>
    <w:p w:rsidR="00370FC8" w:rsidRDefault="00B651B7">
      <w:pPr>
        <w:adjustRightInd/>
        <w:snapToGrid/>
        <w:spacing w:before="100" w:beforeAutospacing="1" w:after="100" w:afterAutospacing="1" w:line="375" w:lineRule="atLeast"/>
        <w:ind w:firstLineChars="200" w:firstLine="640"/>
        <w:rPr>
          <w:rFonts w:ascii="仿宋_GB2312" w:eastAsia="仿宋_GB2312" w:hAnsi="Times New Roman" w:cs="仿宋_GB2312" w:hint="eastAsia"/>
          <w:bCs/>
          <w:kern w:val="2"/>
          <w:sz w:val="32"/>
          <w:szCs w:val="32"/>
        </w:rPr>
      </w:pPr>
      <w:r>
        <w:rPr>
          <w:rFonts w:ascii="仿宋_GB2312" w:eastAsia="仿宋_GB2312" w:hAnsi="Times New Roman" w:cs="仿宋_GB2312"/>
          <w:bCs/>
          <w:kern w:val="2"/>
          <w:sz w:val="32"/>
          <w:szCs w:val="32"/>
        </w:rPr>
        <w:t>2016年</w:t>
      </w:r>
      <w:r>
        <w:rPr>
          <w:rFonts w:ascii="仿宋_GB2312" w:eastAsia="仿宋_GB2312" w:hAnsi="Times New Roman" w:cs="仿宋_GB2312" w:hint="eastAsia"/>
          <w:bCs/>
          <w:kern w:val="2"/>
          <w:sz w:val="32"/>
          <w:szCs w:val="32"/>
        </w:rPr>
        <w:t>县发改局</w:t>
      </w:r>
      <w:r>
        <w:rPr>
          <w:rFonts w:ascii="仿宋_GB2312" w:eastAsia="仿宋_GB2312" w:hAnsi="Times New Roman" w:cs="仿宋_GB2312"/>
          <w:bCs/>
          <w:kern w:val="2"/>
          <w:sz w:val="32"/>
          <w:szCs w:val="32"/>
        </w:rPr>
        <w:t>对民生项目和重点项目进行了绩效评价。结合我</w:t>
      </w:r>
      <w:r>
        <w:rPr>
          <w:rFonts w:ascii="仿宋_GB2312" w:eastAsia="仿宋_GB2312" w:hAnsi="Times New Roman" w:cs="仿宋_GB2312" w:hint="eastAsia"/>
          <w:bCs/>
          <w:kern w:val="2"/>
          <w:sz w:val="32"/>
          <w:szCs w:val="32"/>
        </w:rPr>
        <w:t>局</w:t>
      </w:r>
      <w:r>
        <w:rPr>
          <w:rFonts w:ascii="仿宋_GB2312" w:eastAsia="仿宋_GB2312" w:hAnsi="Times New Roman" w:cs="仿宋_GB2312"/>
          <w:bCs/>
          <w:kern w:val="2"/>
          <w:sz w:val="32"/>
          <w:szCs w:val="32"/>
        </w:rPr>
        <w:t>工作的实际情况，基本完成了以加强</w:t>
      </w:r>
      <w:bookmarkStart w:id="0" w:name="_GoBack"/>
      <w:bookmarkEnd w:id="0"/>
      <w:r>
        <w:rPr>
          <w:rFonts w:ascii="仿宋_GB2312" w:eastAsia="仿宋_GB2312" w:hAnsi="Times New Roman" w:cs="仿宋_GB2312"/>
          <w:bCs/>
          <w:kern w:val="2"/>
          <w:sz w:val="32"/>
          <w:szCs w:val="32"/>
        </w:rPr>
        <w:t>政府投资建投项目的科学化、制度化的管理，提高了政府资金使用效益；进一步明确</w:t>
      </w:r>
      <w:r>
        <w:rPr>
          <w:rFonts w:ascii="仿宋_GB2312" w:eastAsia="仿宋_GB2312" w:hAnsi="Times New Roman" w:cs="仿宋_GB2312" w:hint="eastAsia"/>
          <w:bCs/>
          <w:kern w:val="2"/>
          <w:sz w:val="32"/>
          <w:szCs w:val="32"/>
        </w:rPr>
        <w:t>振兴东北老工业基地</w:t>
      </w:r>
      <w:r>
        <w:rPr>
          <w:rFonts w:ascii="仿宋_GB2312" w:eastAsia="仿宋_GB2312" w:hAnsi="Times New Roman" w:cs="仿宋_GB2312"/>
          <w:bCs/>
          <w:kern w:val="2"/>
          <w:sz w:val="32"/>
          <w:szCs w:val="32"/>
        </w:rPr>
        <w:t>发展的方向、目标定位、重点任务，有利于促进</w:t>
      </w:r>
      <w:r>
        <w:rPr>
          <w:rFonts w:ascii="仿宋_GB2312" w:eastAsia="仿宋_GB2312" w:hAnsi="Times New Roman" w:cs="仿宋_GB2312" w:hint="eastAsia"/>
          <w:bCs/>
          <w:kern w:val="2"/>
          <w:sz w:val="32"/>
          <w:szCs w:val="32"/>
        </w:rPr>
        <w:t>康平县</w:t>
      </w:r>
      <w:r>
        <w:rPr>
          <w:rFonts w:ascii="仿宋_GB2312" w:eastAsia="仿宋_GB2312" w:hAnsi="Times New Roman" w:cs="仿宋_GB2312"/>
          <w:bCs/>
          <w:kern w:val="2"/>
          <w:sz w:val="32"/>
          <w:szCs w:val="32"/>
        </w:rPr>
        <w:t>在东北振兴发展</w:t>
      </w:r>
      <w:r>
        <w:rPr>
          <w:rFonts w:ascii="仿宋_GB2312" w:eastAsia="仿宋_GB2312" w:hAnsi="Times New Roman" w:cs="仿宋_GB2312" w:hint="eastAsia"/>
          <w:bCs/>
          <w:kern w:val="2"/>
          <w:sz w:val="32"/>
          <w:szCs w:val="32"/>
        </w:rPr>
        <w:t>中的</w:t>
      </w:r>
      <w:r>
        <w:rPr>
          <w:rFonts w:ascii="仿宋_GB2312" w:eastAsia="仿宋_GB2312" w:hAnsi="Times New Roman" w:cs="仿宋_GB2312"/>
          <w:bCs/>
          <w:kern w:val="2"/>
          <w:sz w:val="32"/>
          <w:szCs w:val="32"/>
        </w:rPr>
        <w:t>创新发展，全面深化改革和扩大开放方面</w:t>
      </w:r>
      <w:r>
        <w:rPr>
          <w:rFonts w:ascii="仿宋_GB2312" w:eastAsia="仿宋_GB2312" w:hAnsi="Times New Roman" w:cs="仿宋_GB2312" w:hint="eastAsia"/>
          <w:bCs/>
          <w:kern w:val="2"/>
          <w:sz w:val="32"/>
          <w:szCs w:val="32"/>
        </w:rPr>
        <w:t>取得进展</w:t>
      </w:r>
      <w:r>
        <w:rPr>
          <w:rFonts w:ascii="仿宋_GB2312" w:eastAsia="仿宋_GB2312" w:hAnsi="Times New Roman" w:cs="仿宋_GB2312"/>
          <w:bCs/>
          <w:kern w:val="2"/>
          <w:sz w:val="32"/>
          <w:szCs w:val="32"/>
        </w:rPr>
        <w:t>，使引领实现东北振兴</w:t>
      </w:r>
      <w:r>
        <w:rPr>
          <w:rFonts w:ascii="仿宋_GB2312" w:eastAsia="仿宋_GB2312" w:hAnsi="Times New Roman" w:cs="仿宋_GB2312" w:hint="eastAsia"/>
          <w:bCs/>
          <w:kern w:val="2"/>
          <w:sz w:val="32"/>
          <w:szCs w:val="32"/>
        </w:rPr>
        <w:t>的</w:t>
      </w:r>
      <w:r>
        <w:rPr>
          <w:rFonts w:ascii="仿宋_GB2312" w:eastAsia="仿宋_GB2312" w:hAnsi="Times New Roman" w:cs="仿宋_GB2312"/>
          <w:bCs/>
          <w:kern w:val="2"/>
          <w:sz w:val="32"/>
          <w:szCs w:val="32"/>
        </w:rPr>
        <w:t>发展尽快成为</w:t>
      </w:r>
      <w:r>
        <w:rPr>
          <w:rFonts w:ascii="仿宋_GB2312" w:eastAsia="仿宋_GB2312" w:hAnsi="Times New Roman" w:cs="仿宋_GB2312" w:hint="eastAsia"/>
          <w:bCs/>
          <w:kern w:val="2"/>
          <w:sz w:val="32"/>
          <w:szCs w:val="32"/>
        </w:rPr>
        <w:t>康平</w:t>
      </w:r>
      <w:r>
        <w:rPr>
          <w:rFonts w:ascii="仿宋_GB2312" w:eastAsia="仿宋_GB2312" w:hAnsi="Times New Roman" w:cs="仿宋_GB2312"/>
          <w:bCs/>
          <w:kern w:val="2"/>
          <w:sz w:val="32"/>
          <w:szCs w:val="32"/>
        </w:rPr>
        <w:t>新的经济增长极，为老工业基地再振兴注入强大的支撑和动力的绩效目标。</w:t>
      </w:r>
    </w:p>
    <w:p w:rsidR="00C07362" w:rsidRDefault="00C07362" w:rsidP="00C07362">
      <w:pPr>
        <w:ind w:firstLineChars="200" w:firstLine="561"/>
        <w:rPr>
          <w:b/>
          <w:bCs/>
          <w:sz w:val="28"/>
          <w:szCs w:val="28"/>
        </w:rPr>
      </w:pPr>
      <w:r>
        <w:rPr>
          <w:rFonts w:hint="eastAsia"/>
          <w:b/>
          <w:bCs/>
          <w:sz w:val="28"/>
          <w:szCs w:val="28"/>
        </w:rPr>
        <w:t>名词解释</w:t>
      </w:r>
    </w:p>
    <w:p w:rsidR="00C07362" w:rsidRDefault="00C07362" w:rsidP="00C07362">
      <w:pPr>
        <w:spacing w:line="560" w:lineRule="exact"/>
        <w:ind w:firstLineChars="200" w:firstLine="643"/>
        <w:rPr>
          <w:rFonts w:ascii="仿宋_GB2312" w:eastAsia="仿宋_GB2312"/>
          <w:sz w:val="32"/>
          <w:szCs w:val="24"/>
        </w:rPr>
      </w:pPr>
      <w:r>
        <w:rPr>
          <w:rFonts w:ascii="仿宋_GB2312" w:eastAsia="仿宋_GB2312" w:hint="eastAsia"/>
          <w:b/>
          <w:sz w:val="32"/>
        </w:rPr>
        <w:t>1.财政拨款收入：</w:t>
      </w:r>
      <w:r>
        <w:rPr>
          <w:rFonts w:ascii="仿宋_GB2312" w:eastAsia="仿宋_GB2312" w:hint="eastAsia"/>
          <w:sz w:val="32"/>
        </w:rPr>
        <w:t>指市级财政当年拨付的资金。</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2.上级补助收入：</w:t>
      </w:r>
      <w:r>
        <w:rPr>
          <w:rFonts w:ascii="仿宋_GB2312" w:eastAsia="仿宋_GB2312" w:hint="eastAsia"/>
          <w:sz w:val="32"/>
        </w:rPr>
        <w:t>指单位从主管部门和上级单位取得的非财政性补助收入。</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3.事业收入：</w:t>
      </w:r>
      <w:r>
        <w:rPr>
          <w:rFonts w:ascii="仿宋_GB2312" w:eastAsia="仿宋_GB2312" w:hint="eastAsia"/>
          <w:sz w:val="32"/>
        </w:rPr>
        <w:t>指事业单位开展专业业务活动及辅助活动所取得的收入。</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4.经营收入：</w:t>
      </w:r>
      <w:r>
        <w:rPr>
          <w:rFonts w:ascii="仿宋_GB2312" w:eastAsia="仿宋_GB2312" w:hint="eastAsia"/>
          <w:sz w:val="32"/>
        </w:rPr>
        <w:t>指事业单位在专业业务活动及辅助活动之外开展非独立核算经营活动取得的收入。</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lastRenderedPageBreak/>
        <w:t>5.附属单位上缴收入：</w:t>
      </w:r>
      <w:r>
        <w:rPr>
          <w:rFonts w:ascii="仿宋_GB2312" w:eastAsia="仿宋_GB2312" w:hint="eastAsia"/>
          <w:sz w:val="32"/>
        </w:rPr>
        <w:t>指单位附属的独立核算单位按照规定上缴的收入。</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6.其他收入：</w:t>
      </w:r>
      <w:r>
        <w:rPr>
          <w:rFonts w:ascii="仿宋_GB2312" w:eastAsia="仿宋_GB2312" w:hint="eastAsia"/>
          <w:sz w:val="32"/>
        </w:rPr>
        <w:t>指除上述</w:t>
      </w:r>
      <w:r>
        <w:rPr>
          <w:rFonts w:ascii="仿宋_GB2312" w:eastAsia="仿宋_GB2312"/>
          <w:sz w:val="32"/>
        </w:rPr>
        <w:t>“</w:t>
      </w:r>
      <w:r>
        <w:rPr>
          <w:rFonts w:ascii="仿宋_GB2312" w:eastAsia="仿宋_GB2312" w:hint="eastAsia"/>
          <w:sz w:val="32"/>
        </w:rPr>
        <w:t>财政拨款收入</w:t>
      </w:r>
      <w:r>
        <w:rPr>
          <w:rFonts w:ascii="仿宋_GB2312" w:eastAsia="仿宋_GB2312"/>
          <w:sz w:val="32"/>
        </w:rPr>
        <w:t>”</w:t>
      </w:r>
      <w:r>
        <w:rPr>
          <w:rFonts w:ascii="仿宋_GB2312" w:eastAsia="仿宋_GB2312" w:hint="eastAsia"/>
          <w:sz w:val="32"/>
        </w:rPr>
        <w:t>、</w:t>
      </w:r>
      <w:r>
        <w:rPr>
          <w:rFonts w:ascii="仿宋_GB2312" w:eastAsia="仿宋_GB2312" w:hint="eastAsia"/>
          <w:b/>
          <w:sz w:val="32"/>
        </w:rPr>
        <w:t xml:space="preserve"> </w:t>
      </w:r>
      <w:r>
        <w:rPr>
          <w:rFonts w:ascii="仿宋_GB2312" w:eastAsia="仿宋_GB2312"/>
          <w:sz w:val="32"/>
        </w:rPr>
        <w:t>“</w:t>
      </w:r>
      <w:r>
        <w:rPr>
          <w:rFonts w:ascii="仿宋_GB2312" w:eastAsia="仿宋_GB2312" w:hint="eastAsia"/>
          <w:sz w:val="32"/>
        </w:rPr>
        <w:t>上级补助收入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事业收入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经营收入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附属单位上缴收入</w:t>
      </w:r>
      <w:r>
        <w:rPr>
          <w:rFonts w:ascii="仿宋_GB2312" w:eastAsia="仿宋_GB2312"/>
          <w:sz w:val="32"/>
        </w:rPr>
        <w:t>”</w:t>
      </w:r>
      <w:r>
        <w:rPr>
          <w:rFonts w:ascii="仿宋_GB2312" w:eastAsia="仿宋_GB2312" w:hint="eastAsia"/>
          <w:sz w:val="32"/>
        </w:rPr>
        <w:t>等以外的收入。</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7.用事业基金弥补收支差额：</w:t>
      </w:r>
      <w:r>
        <w:rPr>
          <w:rFonts w:ascii="仿宋_GB2312" w:eastAsia="仿宋_GB2312" w:hint="eastAsia"/>
          <w:sz w:val="32"/>
        </w:rPr>
        <w:t>指事业单位在当年的</w:t>
      </w:r>
      <w:r>
        <w:rPr>
          <w:rFonts w:ascii="仿宋_GB2312" w:eastAsia="仿宋_GB2312"/>
          <w:sz w:val="32"/>
        </w:rPr>
        <w:t>“</w:t>
      </w:r>
      <w:r>
        <w:rPr>
          <w:rFonts w:ascii="仿宋_GB2312" w:eastAsia="仿宋_GB2312" w:hint="eastAsia"/>
          <w:sz w:val="32"/>
        </w:rPr>
        <w:t>财政拨款收入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财政拨款结转和结余资金</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上级补助收入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事业收入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经营收入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附属单位上缴收入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其他收入</w:t>
      </w:r>
      <w:r>
        <w:rPr>
          <w:rFonts w:ascii="仿宋_GB2312" w:eastAsia="仿宋_GB2312"/>
          <w:sz w:val="32"/>
        </w:rPr>
        <w:t>”</w:t>
      </w:r>
      <w:r>
        <w:rPr>
          <w:rFonts w:ascii="仿宋_GB2312" w:eastAsia="仿宋_GB2312" w:hint="eastAsia"/>
          <w:sz w:val="32"/>
        </w:rPr>
        <w:t>不足以安排当年支出情况下，使用以前年度积累的事业基金（事业单位当年收支相抵后按国家规定提取、用于弥补以后年度收支差额的基金）弥补本年度收支缺口的资金。</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8.上年结转和结余：</w:t>
      </w:r>
      <w:r>
        <w:rPr>
          <w:rFonts w:ascii="仿宋_GB2312" w:eastAsia="仿宋_GB2312" w:hint="eastAsia"/>
          <w:sz w:val="32"/>
        </w:rPr>
        <w:t>指以前年度尚未完成、结转到本年按有关规定继续使用的资金。</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9.基本支出：</w:t>
      </w:r>
      <w:r>
        <w:rPr>
          <w:rFonts w:ascii="仿宋_GB2312" w:eastAsia="仿宋_GB2312" w:hint="eastAsia"/>
          <w:sz w:val="32"/>
        </w:rPr>
        <w:t>指保障机构正常运转、完成日常工作任务而发生的人员支出和公用支出。</w:t>
      </w:r>
    </w:p>
    <w:p w:rsidR="00C07362" w:rsidRDefault="00C07362" w:rsidP="00C07362">
      <w:pPr>
        <w:spacing w:line="560" w:lineRule="exact"/>
        <w:ind w:firstLineChars="200" w:firstLine="643"/>
        <w:rPr>
          <w:rFonts w:ascii="仿宋_GB2312" w:eastAsia="仿宋_GB2312" w:hint="eastAsia"/>
          <w:b/>
          <w:sz w:val="32"/>
        </w:rPr>
      </w:pPr>
      <w:r>
        <w:rPr>
          <w:rFonts w:ascii="仿宋_GB2312" w:eastAsia="仿宋_GB2312" w:hint="eastAsia"/>
          <w:b/>
          <w:sz w:val="32"/>
        </w:rPr>
        <w:t>10.项目支出：</w:t>
      </w:r>
      <w:r>
        <w:rPr>
          <w:rFonts w:ascii="仿宋_GB2312" w:eastAsia="仿宋_GB2312" w:hint="eastAsia"/>
          <w:sz w:val="32"/>
        </w:rPr>
        <w:t>指在基本支出之外为完成特定行政任务和事业发展目标所发生的支出。</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11.</w:t>
      </w:r>
      <w:r>
        <w:rPr>
          <w:rFonts w:ascii="仿宋_GB2312" w:eastAsia="仿宋_GB2312"/>
          <w:b/>
          <w:sz w:val="32"/>
        </w:rPr>
        <w:t>“</w:t>
      </w:r>
      <w:r>
        <w:rPr>
          <w:rFonts w:ascii="仿宋_GB2312" w:eastAsia="仿宋_GB2312" w:hint="eastAsia"/>
          <w:b/>
          <w:sz w:val="32"/>
        </w:rPr>
        <w:t>三公</w:t>
      </w:r>
      <w:r>
        <w:rPr>
          <w:rFonts w:ascii="仿宋_GB2312" w:eastAsia="仿宋_GB2312"/>
          <w:b/>
          <w:sz w:val="32"/>
        </w:rPr>
        <w:t>”</w:t>
      </w:r>
      <w:r>
        <w:rPr>
          <w:rFonts w:ascii="仿宋_GB2312" w:eastAsia="仿宋_GB2312" w:hint="eastAsia"/>
          <w:b/>
          <w:sz w:val="32"/>
        </w:rPr>
        <w:t>经费：</w:t>
      </w:r>
      <w:r>
        <w:rPr>
          <w:rFonts w:ascii="仿宋_GB2312" w:eastAsia="仿宋_GB2312" w:hint="eastAsia"/>
          <w:sz w:val="32"/>
        </w:rPr>
        <w:t>指用财政拨款安排的因公出国（境）费、公务用车购置及运行费和公务接待费。其中，因公出国（境）费反应单位公务出国（境）的住宿费、旅费、伙食补助费、杂费、培训费等支出；公务用车购置及运行费</w:t>
      </w:r>
      <w:r>
        <w:rPr>
          <w:rFonts w:ascii="仿宋_GB2312" w:eastAsia="仿宋_GB2312" w:hint="eastAsia"/>
          <w:sz w:val="32"/>
        </w:rPr>
        <w:lastRenderedPageBreak/>
        <w:t>反映单位公务用车购置费及租用费、燃料费、维修费、过路过桥费、保险费、安全奖励费用等支出；公务接待费反映单位按规定开支的各类公务接待（含外宾接待）支出。</w:t>
      </w:r>
    </w:p>
    <w:p w:rsidR="00C07362" w:rsidRDefault="00C07362" w:rsidP="00C07362">
      <w:pPr>
        <w:spacing w:line="560" w:lineRule="exact"/>
        <w:ind w:firstLineChars="200" w:firstLine="643"/>
        <w:rPr>
          <w:rFonts w:ascii="仿宋_GB2312" w:eastAsia="仿宋_GB2312" w:hint="eastAsia"/>
          <w:b/>
          <w:sz w:val="32"/>
        </w:rPr>
      </w:pPr>
      <w:r>
        <w:rPr>
          <w:rFonts w:ascii="仿宋_GB2312" w:eastAsia="仿宋_GB2312" w:hint="eastAsia"/>
          <w:b/>
          <w:sz w:val="32"/>
        </w:rPr>
        <w:t>12.一般公共服务（类）财政事务（款）行政运行（项）：</w:t>
      </w:r>
      <w:r>
        <w:rPr>
          <w:rFonts w:ascii="仿宋_GB2312" w:eastAsia="仿宋_GB2312" w:hint="eastAsia"/>
          <w:sz w:val="32"/>
        </w:rPr>
        <w:t>反映行政单位（包括实行公务员管理的事业单位）的基本支出。</w:t>
      </w:r>
    </w:p>
    <w:p w:rsidR="00C07362" w:rsidRDefault="00C07362" w:rsidP="00C07362">
      <w:pPr>
        <w:spacing w:line="560" w:lineRule="exact"/>
        <w:ind w:firstLineChars="200" w:firstLine="643"/>
        <w:rPr>
          <w:rFonts w:ascii="仿宋_GB2312" w:eastAsia="仿宋_GB2312" w:hint="eastAsia"/>
          <w:b/>
          <w:sz w:val="32"/>
        </w:rPr>
      </w:pPr>
      <w:r>
        <w:rPr>
          <w:rFonts w:ascii="仿宋_GB2312" w:eastAsia="仿宋_GB2312" w:hint="eastAsia"/>
          <w:b/>
          <w:sz w:val="32"/>
        </w:rPr>
        <w:t>13.一般公共服务（类）财政事务（款）一般行政管理事务（项）：</w:t>
      </w:r>
      <w:r>
        <w:rPr>
          <w:rFonts w:ascii="仿宋_GB2312" w:eastAsia="仿宋_GB2312" w:hint="eastAsia"/>
          <w:sz w:val="32"/>
        </w:rPr>
        <w:t>反映行政单位（包括实行公务员管理的事业单位）未单独设置项级科目的其他项目支出。</w:t>
      </w:r>
    </w:p>
    <w:p w:rsidR="00C07362" w:rsidRDefault="00C07362" w:rsidP="00C07362">
      <w:pPr>
        <w:spacing w:line="560" w:lineRule="exact"/>
        <w:ind w:firstLineChars="200" w:firstLine="643"/>
        <w:rPr>
          <w:rFonts w:ascii="仿宋_GB2312" w:eastAsia="仿宋_GB2312" w:hint="eastAsia"/>
          <w:b/>
          <w:sz w:val="32"/>
        </w:rPr>
      </w:pPr>
      <w:r>
        <w:rPr>
          <w:rFonts w:ascii="仿宋_GB2312" w:eastAsia="仿宋_GB2312" w:hint="eastAsia"/>
          <w:b/>
          <w:sz w:val="32"/>
        </w:rPr>
        <w:t>14.一般公共服务（类）财政事务（款）预算改革业务（项）：</w:t>
      </w:r>
      <w:r>
        <w:rPr>
          <w:rFonts w:ascii="仿宋_GB2312" w:eastAsia="仿宋_GB2312" w:hint="eastAsia"/>
          <w:sz w:val="32"/>
        </w:rPr>
        <w:t>反映财政部门用于预算改革方面的支出。</w:t>
      </w:r>
    </w:p>
    <w:p w:rsidR="00C07362" w:rsidRDefault="00C07362" w:rsidP="00C07362">
      <w:pPr>
        <w:spacing w:line="560" w:lineRule="exact"/>
        <w:ind w:firstLineChars="200" w:firstLine="643"/>
        <w:rPr>
          <w:rFonts w:ascii="仿宋_GB2312" w:eastAsia="仿宋_GB2312" w:hint="eastAsia"/>
          <w:b/>
          <w:sz w:val="32"/>
        </w:rPr>
      </w:pPr>
      <w:r>
        <w:rPr>
          <w:rFonts w:ascii="仿宋_GB2312" w:eastAsia="仿宋_GB2312" w:hint="eastAsia"/>
          <w:b/>
          <w:sz w:val="32"/>
        </w:rPr>
        <w:t>15.一般公共服务（类）财政事务（款）财政国库业务（项）：</w:t>
      </w:r>
      <w:r>
        <w:rPr>
          <w:rFonts w:ascii="仿宋_GB2312" w:eastAsia="仿宋_GB2312" w:hint="eastAsia"/>
          <w:sz w:val="32"/>
        </w:rPr>
        <w:t>反映财政部门用于财政国库集中收付业务方面的支出。</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16.一般公共服务（类）财政事务（款）信息化建设支（项）：</w:t>
      </w:r>
      <w:r>
        <w:rPr>
          <w:rFonts w:ascii="仿宋_GB2312" w:eastAsia="仿宋_GB2312" w:hint="eastAsia"/>
          <w:sz w:val="32"/>
        </w:rPr>
        <w:t>反映财政部门用于</w:t>
      </w:r>
      <w:r>
        <w:rPr>
          <w:rFonts w:ascii="仿宋_GB2312" w:eastAsia="仿宋_GB2312"/>
          <w:sz w:val="32"/>
        </w:rPr>
        <w:t>“</w:t>
      </w:r>
      <w:r>
        <w:rPr>
          <w:rFonts w:ascii="仿宋_GB2312" w:eastAsia="仿宋_GB2312" w:hint="eastAsia"/>
          <w:sz w:val="32"/>
        </w:rPr>
        <w:t>金财工程</w:t>
      </w:r>
      <w:r>
        <w:rPr>
          <w:rFonts w:ascii="仿宋_GB2312" w:eastAsia="仿宋_GB2312"/>
          <w:sz w:val="32"/>
        </w:rPr>
        <w:t>”</w:t>
      </w:r>
      <w:r>
        <w:rPr>
          <w:rFonts w:ascii="仿宋_GB2312" w:eastAsia="仿宋_GB2312" w:hint="eastAsia"/>
          <w:sz w:val="32"/>
        </w:rPr>
        <w:t>等信息化建设方面的支出。</w:t>
      </w:r>
    </w:p>
    <w:p w:rsidR="00C07362" w:rsidRDefault="00C07362" w:rsidP="00C07362">
      <w:pPr>
        <w:spacing w:line="560" w:lineRule="exact"/>
        <w:ind w:firstLineChars="200" w:firstLine="643"/>
        <w:rPr>
          <w:rFonts w:ascii="仿宋_GB2312" w:eastAsia="仿宋_GB2312" w:hint="eastAsia"/>
          <w:b/>
          <w:sz w:val="32"/>
        </w:rPr>
      </w:pPr>
      <w:r>
        <w:rPr>
          <w:rFonts w:ascii="仿宋_GB2312" w:eastAsia="仿宋_GB2312" w:hint="eastAsia"/>
          <w:b/>
          <w:sz w:val="32"/>
        </w:rPr>
        <w:t>17.一般公共服务（类）财政事务（款）事业运行（项）：</w:t>
      </w:r>
      <w:r>
        <w:rPr>
          <w:rFonts w:ascii="仿宋_GB2312" w:eastAsia="仿宋_GB2312" w:hint="eastAsia"/>
          <w:sz w:val="32"/>
        </w:rPr>
        <w:t>反映事业单位的基本支出，不包括行政单位（包括实行公务员管理的事业单位）后勤服务中心、医务室等附属事业单位。</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lastRenderedPageBreak/>
        <w:t>18.一般公共服务（类）财政事务（款）其他财政事务支出（项）：</w:t>
      </w:r>
      <w:r>
        <w:rPr>
          <w:rFonts w:ascii="仿宋_GB2312" w:eastAsia="仿宋_GB2312" w:hint="eastAsia"/>
          <w:sz w:val="32"/>
        </w:rPr>
        <w:t>反映除上述项目以外其他财政事务方面的支出。</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19.一般公共服务（类）其他一般公共服务支出（款）其他一般公共服务支出（项）：</w:t>
      </w:r>
      <w:r>
        <w:rPr>
          <w:rFonts w:ascii="仿宋_GB2312" w:eastAsia="仿宋_GB2312" w:hint="eastAsia"/>
          <w:sz w:val="32"/>
        </w:rPr>
        <w:t>反映除上述项目以外的其他一般公共服务支出。</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20.科学技术（类）其他科学技术支出（款）其他科学技术支出（项）：</w:t>
      </w:r>
      <w:r>
        <w:rPr>
          <w:rFonts w:ascii="仿宋_GB2312" w:eastAsia="仿宋_GB2312" w:hint="eastAsia"/>
          <w:sz w:val="32"/>
        </w:rPr>
        <w:t>反映其他用于科技方面的支出。</w:t>
      </w:r>
    </w:p>
    <w:p w:rsidR="00C07362" w:rsidRDefault="00C07362" w:rsidP="00C07362">
      <w:pPr>
        <w:spacing w:line="560" w:lineRule="exact"/>
        <w:ind w:firstLineChars="200" w:firstLine="643"/>
        <w:rPr>
          <w:rFonts w:ascii="仿宋_GB2312" w:eastAsia="仿宋_GB2312" w:hint="eastAsia"/>
          <w:b/>
          <w:sz w:val="32"/>
        </w:rPr>
      </w:pPr>
      <w:r>
        <w:rPr>
          <w:rFonts w:ascii="仿宋_GB2312" w:eastAsia="仿宋_GB2312" w:hint="eastAsia"/>
          <w:b/>
          <w:sz w:val="32"/>
        </w:rPr>
        <w:t>21.社会保障和就业（类）行政事业单位离退休（款）归口管理的行政单位离退休（项）：</w:t>
      </w:r>
      <w:r>
        <w:rPr>
          <w:rFonts w:ascii="仿宋_GB2312" w:eastAsia="仿宋_GB2312" w:hint="eastAsia"/>
          <w:sz w:val="32"/>
        </w:rPr>
        <w:t>反映实行归口管理的行政单位（包括实行公务员管理的事业单位）开支的离退休经费。</w:t>
      </w:r>
    </w:p>
    <w:p w:rsidR="00C07362" w:rsidRDefault="00C07362" w:rsidP="00C07362">
      <w:pPr>
        <w:spacing w:line="560" w:lineRule="exact"/>
        <w:ind w:firstLineChars="200" w:firstLine="643"/>
        <w:rPr>
          <w:rFonts w:ascii="仿宋_GB2312" w:eastAsia="仿宋_GB2312" w:hint="eastAsia"/>
          <w:b/>
          <w:sz w:val="32"/>
        </w:rPr>
      </w:pPr>
      <w:r>
        <w:rPr>
          <w:rFonts w:ascii="仿宋_GB2312" w:eastAsia="仿宋_GB2312" w:hint="eastAsia"/>
          <w:b/>
          <w:sz w:val="32"/>
        </w:rPr>
        <w:t>22.社会保障和就业（类）行政事业单位离退休（款）事业单位离退休（项）：</w:t>
      </w:r>
      <w:r>
        <w:rPr>
          <w:rFonts w:ascii="仿宋_GB2312" w:eastAsia="仿宋_GB2312" w:hint="eastAsia"/>
          <w:sz w:val="32"/>
        </w:rPr>
        <w:t>反映实行归口管理的事业单位开支的离退休经费。</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23.医疗卫生（类）医疗保障（款）行政单位医疗（项）：</w:t>
      </w:r>
      <w:r>
        <w:rPr>
          <w:rFonts w:ascii="仿宋_GB2312" w:eastAsia="仿宋_GB2312" w:hint="eastAsia"/>
          <w:sz w:val="32"/>
        </w:rPr>
        <w:t>反映财政部门集中安排的行政单位基本医疗保险缴费经费，未参加医疗保险的行政单位的公费医疗经费，按国家规定享受离休人员、红军老战士待遇人员的医疗经费。</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lastRenderedPageBreak/>
        <w:t>24.医疗卫生（类）其他医疗卫生支出（款）其他医疗卫生支出（项）：</w:t>
      </w:r>
      <w:r>
        <w:rPr>
          <w:rFonts w:ascii="仿宋_GB2312" w:eastAsia="仿宋_GB2312" w:hint="eastAsia"/>
          <w:sz w:val="32"/>
        </w:rPr>
        <w:t>反映除上述项目以外其他用于医疗卫生方面的支出。</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25.农林水事务（类）农业（款）其他农业支出（项）：</w:t>
      </w:r>
      <w:r>
        <w:rPr>
          <w:rFonts w:ascii="仿宋_GB2312" w:eastAsia="仿宋_GB2312" w:hint="eastAsia"/>
          <w:sz w:val="32"/>
        </w:rPr>
        <w:t>反映其他用于农业方面的支出。</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26.交通运输（类）石油价格改革对交通运输的补贴（款）石油价格改革补贴其他支出（项）：</w:t>
      </w:r>
      <w:r>
        <w:rPr>
          <w:rFonts w:ascii="仿宋_GB2312" w:eastAsia="仿宋_GB2312" w:hint="eastAsia"/>
          <w:sz w:val="32"/>
        </w:rPr>
        <w:t>反映石油价格改革财政补贴对其他方面的支出。</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27.资源勘探电力信息等事务（类）工业和信息产业监管支出（款）其他工业和信息产业监管支出（项）：</w:t>
      </w:r>
      <w:r>
        <w:rPr>
          <w:rFonts w:ascii="仿宋_GB2312" w:eastAsia="仿宋_GB2312" w:hint="eastAsia"/>
          <w:sz w:val="32"/>
        </w:rPr>
        <w:t>反映其他用于工业和信息产业监管方面的支出。</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28.商业服务业等事务（类）商业流通事务（款）其他商业流通事务支出（项）：</w:t>
      </w:r>
      <w:r>
        <w:rPr>
          <w:rFonts w:ascii="仿宋_GB2312" w:eastAsia="仿宋_GB2312" w:hint="eastAsia"/>
          <w:sz w:val="32"/>
        </w:rPr>
        <w:t>反映其他用于商业流通事务方面的支出。</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29. 商业服务业等事务（类）商业流通事务（款）其他涉外发展服务支出（项）：</w:t>
      </w:r>
      <w:r>
        <w:rPr>
          <w:rFonts w:ascii="仿宋_GB2312" w:eastAsia="仿宋_GB2312" w:hint="eastAsia"/>
          <w:sz w:val="32"/>
        </w:rPr>
        <w:t>反映其他用于涉外发展服务方面的支出。</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30. 国土资源气象等事务（类）国土资源事务（款）其他国土资源事务支出（项）：</w:t>
      </w:r>
      <w:r>
        <w:rPr>
          <w:rFonts w:ascii="仿宋_GB2312" w:eastAsia="仿宋_GB2312" w:hint="eastAsia"/>
          <w:sz w:val="32"/>
        </w:rPr>
        <w:t>反映其他用于国土资源事务方面的支出。</w:t>
      </w:r>
    </w:p>
    <w:p w:rsidR="00C07362" w:rsidRDefault="00C07362" w:rsidP="00C07362">
      <w:pPr>
        <w:spacing w:line="560" w:lineRule="exact"/>
        <w:ind w:firstLineChars="200" w:firstLine="643"/>
        <w:rPr>
          <w:rFonts w:ascii="仿宋_GB2312" w:eastAsia="仿宋_GB2312" w:hint="eastAsia"/>
          <w:b/>
          <w:sz w:val="32"/>
        </w:rPr>
      </w:pPr>
      <w:r>
        <w:rPr>
          <w:rFonts w:ascii="仿宋_GB2312" w:eastAsia="仿宋_GB2312" w:hint="eastAsia"/>
          <w:b/>
          <w:sz w:val="32"/>
        </w:rPr>
        <w:lastRenderedPageBreak/>
        <w:t>31.住房保障（类）住房改革（款）住房公积金（项）：</w:t>
      </w:r>
      <w:r>
        <w:rPr>
          <w:rFonts w:ascii="仿宋_GB2312" w:eastAsia="仿宋_GB2312" w:hint="eastAsia"/>
          <w:sz w:val="32"/>
        </w:rPr>
        <w:t>反映行政事业单位按人力资源和社会保障部、财政部规定的基本工资和津贴补贴以及规定比例为职工缴纳的住房公积金。</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32.其他支出（类）其他支出（款）其他支出（项）：</w:t>
      </w:r>
      <w:r>
        <w:rPr>
          <w:rFonts w:ascii="仿宋_GB2312" w:eastAsia="仿宋_GB2312" w:hint="eastAsia"/>
          <w:sz w:val="32"/>
        </w:rPr>
        <w:t>反映其他不能划分到具体功能科目中的支出项目。</w:t>
      </w:r>
    </w:p>
    <w:p w:rsidR="00C07362" w:rsidRDefault="00C07362" w:rsidP="00C07362">
      <w:pPr>
        <w:spacing w:line="560" w:lineRule="exact"/>
        <w:ind w:firstLineChars="200" w:firstLine="643"/>
        <w:rPr>
          <w:rFonts w:ascii="仿宋_GB2312" w:eastAsia="仿宋_GB2312" w:hint="eastAsia"/>
          <w:sz w:val="32"/>
        </w:rPr>
      </w:pPr>
      <w:r>
        <w:rPr>
          <w:rFonts w:ascii="仿宋_GB2312" w:eastAsia="仿宋_GB2312" w:hint="eastAsia"/>
          <w:b/>
          <w:sz w:val="32"/>
        </w:rPr>
        <w:t>33.机关运行经费：</w:t>
      </w:r>
      <w:r>
        <w:rPr>
          <w:rFonts w:ascii="仿宋_GB2312" w:eastAsia="仿宋_GB2312" w:hint="eastAsia"/>
          <w:sz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rsidR="00C07362" w:rsidRDefault="00C07362" w:rsidP="00C07362">
      <w:pPr>
        <w:rPr>
          <w:rFonts w:ascii="Calibri" w:eastAsia="宋体" w:hint="eastAsia"/>
          <w:sz w:val="28"/>
          <w:szCs w:val="28"/>
        </w:rPr>
      </w:pPr>
    </w:p>
    <w:p w:rsidR="00C07362" w:rsidRDefault="00C07362" w:rsidP="00C07362">
      <w:pPr>
        <w:ind w:firstLineChars="200" w:firstLine="560"/>
        <w:rPr>
          <w:sz w:val="28"/>
          <w:szCs w:val="28"/>
        </w:rPr>
      </w:pPr>
    </w:p>
    <w:p w:rsidR="00C07362" w:rsidRDefault="00C07362" w:rsidP="00C07362">
      <w:pPr>
        <w:jc w:val="center"/>
        <w:rPr>
          <w:rFonts w:ascii="宋体" w:hAnsi="宋体"/>
          <w:sz w:val="36"/>
          <w:szCs w:val="36"/>
        </w:rPr>
      </w:pPr>
    </w:p>
    <w:p w:rsidR="00C07362" w:rsidRDefault="00C07362" w:rsidP="00C07362">
      <w:pPr>
        <w:spacing w:line="360" w:lineRule="auto"/>
        <w:ind w:firstLineChars="200" w:firstLine="640"/>
        <w:rPr>
          <w:rFonts w:ascii="仿宋" w:eastAsia="仿宋" w:hAnsi="仿宋" w:hint="eastAsia"/>
          <w:sz w:val="32"/>
          <w:szCs w:val="32"/>
        </w:rPr>
      </w:pPr>
    </w:p>
    <w:p w:rsidR="00C07362" w:rsidRDefault="00C07362" w:rsidP="00C07362">
      <w:pPr>
        <w:rPr>
          <w:rFonts w:ascii="Calibri" w:eastAsia="宋体" w:hAnsi="Calibri" w:hint="eastAsia"/>
          <w:sz w:val="28"/>
          <w:szCs w:val="28"/>
        </w:rPr>
      </w:pPr>
    </w:p>
    <w:p w:rsidR="00C07362" w:rsidRDefault="00C07362">
      <w:pPr>
        <w:adjustRightInd/>
        <w:snapToGrid/>
        <w:spacing w:before="100" w:beforeAutospacing="1" w:after="100" w:afterAutospacing="1" w:line="375" w:lineRule="atLeast"/>
        <w:ind w:firstLineChars="200" w:firstLine="640"/>
        <w:rPr>
          <w:rFonts w:ascii="仿宋_GB2312" w:eastAsia="仿宋_GB2312" w:hAnsi="宋体" w:cs="宋体"/>
          <w:bCs/>
          <w:sz w:val="32"/>
          <w:szCs w:val="32"/>
        </w:rPr>
      </w:pPr>
    </w:p>
    <w:p w:rsidR="00370FC8" w:rsidRDefault="00370FC8">
      <w:pPr>
        <w:adjustRightInd/>
        <w:spacing w:after="0" w:line="600" w:lineRule="exact"/>
        <w:ind w:firstLineChars="1200" w:firstLine="3840"/>
        <w:rPr>
          <w:rFonts w:ascii="仿宋_GB2312" w:eastAsia="仿宋_GB2312" w:hAnsi="仿宋"/>
          <w:sz w:val="32"/>
          <w:szCs w:val="32"/>
        </w:rPr>
      </w:pPr>
    </w:p>
    <w:p w:rsidR="00370FC8" w:rsidRDefault="00B651B7">
      <w:pPr>
        <w:adjustRightInd/>
        <w:spacing w:after="0" w:line="600" w:lineRule="exact"/>
        <w:ind w:firstLineChars="1200" w:firstLine="3840"/>
        <w:rPr>
          <w:rFonts w:ascii="仿宋_GB2312" w:eastAsia="仿宋_GB2312" w:hAnsi="仿宋"/>
          <w:sz w:val="32"/>
          <w:szCs w:val="32"/>
        </w:rPr>
      </w:pPr>
      <w:r>
        <w:rPr>
          <w:rFonts w:ascii="仿宋_GB2312" w:eastAsia="仿宋_GB2312" w:hAnsi="仿宋"/>
          <w:sz w:val="32"/>
          <w:szCs w:val="32"/>
        </w:rPr>
        <w:t xml:space="preserve">          </w:t>
      </w:r>
    </w:p>
    <w:p w:rsidR="00370FC8" w:rsidRDefault="00370FC8">
      <w:pPr>
        <w:adjustRightInd/>
        <w:spacing w:after="0" w:line="600" w:lineRule="exact"/>
        <w:rPr>
          <w:rFonts w:ascii="仿宋_GB2312" w:eastAsia="仿宋_GB2312" w:hAnsi="仿宋"/>
          <w:sz w:val="32"/>
          <w:szCs w:val="32"/>
        </w:rPr>
      </w:pPr>
    </w:p>
    <w:sectPr w:rsidR="00370FC8" w:rsidSect="00370FC8">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672B" w:rsidRDefault="00EA672B" w:rsidP="00370FC8">
      <w:pPr>
        <w:spacing w:after="0"/>
      </w:pPr>
      <w:r>
        <w:separator/>
      </w:r>
    </w:p>
  </w:endnote>
  <w:endnote w:type="continuationSeparator" w:id="0">
    <w:p w:rsidR="00EA672B" w:rsidRDefault="00EA672B" w:rsidP="00370FC8">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微软雅黑">
    <w:altName w:val="hakuyoxingshu7000"/>
    <w:charset w:val="86"/>
    <w:family w:val="swiss"/>
    <w:pitch w:val="default"/>
    <w:sig w:usb0="00000000" w:usb1="28CF3C50" w:usb2="00000016" w:usb3="00000000" w:csb0="0004001F" w:csb1="00000000"/>
  </w:font>
  <w:font w:name="黑体">
    <w:altName w:val="SimHei"/>
    <w:panose1 w:val="02010600030101010101"/>
    <w:charset w:val="86"/>
    <w:family w:val="auto"/>
    <w:pitch w:val="variable"/>
    <w:sig w:usb0="00000001" w:usb1="080E0000" w:usb2="00000010" w:usb3="00000000" w:csb0="00040000" w:csb1="00000000"/>
  </w:font>
  <w:font w:name="仿宋">
    <w:altName w:val="宋体"/>
    <w:charset w:val="86"/>
    <w:family w:val="modern"/>
    <w:pitch w:val="default"/>
    <w:sig w:usb0="00000000"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FC8" w:rsidRDefault="00192886">
    <w:pPr>
      <w:pStyle w:val="a3"/>
      <w:jc w:val="center"/>
    </w:pPr>
    <w:r w:rsidRPr="00192886">
      <w:fldChar w:fldCharType="begin"/>
    </w:r>
    <w:r w:rsidR="00B651B7">
      <w:instrText xml:space="preserve"> PAGE   \* MERGEFORMAT </w:instrText>
    </w:r>
    <w:r w:rsidRPr="00192886">
      <w:fldChar w:fldCharType="separate"/>
    </w:r>
    <w:r w:rsidR="00C07362" w:rsidRPr="00C07362">
      <w:rPr>
        <w:noProof/>
        <w:lang w:val="zh-CN"/>
      </w:rPr>
      <w:t>6</w:t>
    </w:r>
    <w:r>
      <w:rPr>
        <w:lang w:val="zh-CN"/>
      </w:rPr>
      <w:fldChar w:fldCharType="end"/>
    </w:r>
  </w:p>
  <w:p w:rsidR="00370FC8" w:rsidRDefault="00370FC8">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672B" w:rsidRDefault="00EA672B" w:rsidP="00370FC8">
      <w:pPr>
        <w:spacing w:after="0"/>
      </w:pPr>
      <w:r>
        <w:separator/>
      </w:r>
    </w:p>
  </w:footnote>
  <w:footnote w:type="continuationSeparator" w:id="0">
    <w:p w:rsidR="00EA672B" w:rsidRDefault="00EA672B" w:rsidP="00370FC8">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FC8" w:rsidRDefault="00370FC8">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30D7F3"/>
    <w:multiLevelType w:val="multilevel"/>
    <w:tmpl w:val="5930D7F3"/>
    <w:lvl w:ilvl="0">
      <w:start w:val="3"/>
      <w:numFmt w:val="decimal"/>
      <w:suff w:val="nothing"/>
      <w:lvlText w:val="%1、"/>
      <w:lvlJc w:val="left"/>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
    <w:nsid w:val="72347CD8"/>
    <w:multiLevelType w:val="multilevel"/>
    <w:tmpl w:val="72347CD8"/>
    <w:lvl w:ilvl="0">
      <w:start w:val="1"/>
      <w:numFmt w:val="japaneseCounting"/>
      <w:lvlText w:val="%1、"/>
      <w:lvlJc w:val="left"/>
      <w:pPr>
        <w:ind w:left="1360" w:hanging="720"/>
      </w:pPr>
      <w:rPr>
        <w:rFonts w:cs="Times New Roman" w:hint="default"/>
      </w:rPr>
    </w:lvl>
    <w:lvl w:ilvl="1">
      <w:start w:val="1"/>
      <w:numFmt w:val="lowerLetter"/>
      <w:lvlText w:val="%2)"/>
      <w:lvlJc w:val="left"/>
      <w:pPr>
        <w:ind w:left="1480" w:hanging="420"/>
      </w:pPr>
      <w:rPr>
        <w:rFonts w:cs="Times New Roman"/>
      </w:rPr>
    </w:lvl>
    <w:lvl w:ilvl="2">
      <w:start w:val="1"/>
      <w:numFmt w:val="lowerRoman"/>
      <w:lvlText w:val="%3."/>
      <w:lvlJc w:val="right"/>
      <w:pPr>
        <w:ind w:left="1900" w:hanging="420"/>
      </w:pPr>
      <w:rPr>
        <w:rFonts w:cs="Times New Roman"/>
      </w:rPr>
    </w:lvl>
    <w:lvl w:ilvl="3">
      <w:start w:val="1"/>
      <w:numFmt w:val="decimal"/>
      <w:lvlText w:val="%4."/>
      <w:lvlJc w:val="left"/>
      <w:pPr>
        <w:ind w:left="2320" w:hanging="420"/>
      </w:pPr>
      <w:rPr>
        <w:rFonts w:cs="Times New Roman"/>
      </w:rPr>
    </w:lvl>
    <w:lvl w:ilvl="4">
      <w:start w:val="1"/>
      <w:numFmt w:val="lowerLetter"/>
      <w:lvlText w:val="%5)"/>
      <w:lvlJc w:val="left"/>
      <w:pPr>
        <w:ind w:left="2740" w:hanging="420"/>
      </w:pPr>
      <w:rPr>
        <w:rFonts w:cs="Times New Roman"/>
      </w:rPr>
    </w:lvl>
    <w:lvl w:ilvl="5">
      <w:start w:val="1"/>
      <w:numFmt w:val="lowerRoman"/>
      <w:lvlText w:val="%6."/>
      <w:lvlJc w:val="right"/>
      <w:pPr>
        <w:ind w:left="3160" w:hanging="420"/>
      </w:pPr>
      <w:rPr>
        <w:rFonts w:cs="Times New Roman"/>
      </w:rPr>
    </w:lvl>
    <w:lvl w:ilvl="6">
      <w:start w:val="1"/>
      <w:numFmt w:val="decimal"/>
      <w:lvlText w:val="%7."/>
      <w:lvlJc w:val="left"/>
      <w:pPr>
        <w:ind w:left="3580" w:hanging="420"/>
      </w:pPr>
      <w:rPr>
        <w:rFonts w:cs="Times New Roman"/>
      </w:rPr>
    </w:lvl>
    <w:lvl w:ilvl="7">
      <w:start w:val="1"/>
      <w:numFmt w:val="lowerLetter"/>
      <w:lvlText w:val="%8)"/>
      <w:lvlJc w:val="left"/>
      <w:pPr>
        <w:ind w:left="4000" w:hanging="420"/>
      </w:pPr>
      <w:rPr>
        <w:rFonts w:cs="Times New Roman"/>
      </w:rPr>
    </w:lvl>
    <w:lvl w:ilvl="8">
      <w:start w:val="1"/>
      <w:numFmt w:val="lowerRoman"/>
      <w:lvlText w:val="%9."/>
      <w:lvlJc w:val="right"/>
      <w:pPr>
        <w:ind w:left="4420" w:hanging="42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720"/>
  <w:noPunctuationKerning/>
  <w:characterSpacingControl w:val="doNotCompress"/>
  <w:noLineBreaksAfter w:lang="zh-CN" w:val="$([{£¥·‘“〈《「『【〔〖〝﹙﹛﹝＄（．［｛￡￥"/>
  <w:noLineBreaksBefore w:lang="zh-CN" w:val="!%),.:;&gt;?]}¢¨°·ˇˉ―‖’”…‰′″›℃∶、。〃〉》」』】〕〗〞︶︺︾﹀﹄﹚﹜﹞！＂％＇），．：；？］｀｜｝～￠"/>
  <w:footnotePr>
    <w:footnote w:id="-1"/>
    <w:footnote w:id="0"/>
  </w:footnotePr>
  <w:endnotePr>
    <w:endnote w:id="-1"/>
    <w:endnote w:id="0"/>
  </w:endnotePr>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31D50"/>
    <w:rsid w:val="00072FC7"/>
    <w:rsid w:val="00082CFA"/>
    <w:rsid w:val="000A38D2"/>
    <w:rsid w:val="000B13B9"/>
    <w:rsid w:val="000B234C"/>
    <w:rsid w:val="000D3897"/>
    <w:rsid w:val="001215B2"/>
    <w:rsid w:val="001340B7"/>
    <w:rsid w:val="00192886"/>
    <w:rsid w:val="001A49C1"/>
    <w:rsid w:val="0020378A"/>
    <w:rsid w:val="0022142B"/>
    <w:rsid w:val="00231E23"/>
    <w:rsid w:val="002A0AB6"/>
    <w:rsid w:val="002E087A"/>
    <w:rsid w:val="00315E40"/>
    <w:rsid w:val="00323B43"/>
    <w:rsid w:val="00342251"/>
    <w:rsid w:val="00342DB3"/>
    <w:rsid w:val="00346DB1"/>
    <w:rsid w:val="00370FC8"/>
    <w:rsid w:val="00381D47"/>
    <w:rsid w:val="00386879"/>
    <w:rsid w:val="003A3095"/>
    <w:rsid w:val="003D37D8"/>
    <w:rsid w:val="00413D62"/>
    <w:rsid w:val="00426133"/>
    <w:rsid w:val="004358AB"/>
    <w:rsid w:val="00463126"/>
    <w:rsid w:val="004C3F3D"/>
    <w:rsid w:val="004C6D11"/>
    <w:rsid w:val="004D1C20"/>
    <w:rsid w:val="004D43CD"/>
    <w:rsid w:val="005601C9"/>
    <w:rsid w:val="00574185"/>
    <w:rsid w:val="00591F41"/>
    <w:rsid w:val="00592C6C"/>
    <w:rsid w:val="005F3097"/>
    <w:rsid w:val="00616EB3"/>
    <w:rsid w:val="0061742D"/>
    <w:rsid w:val="006271B1"/>
    <w:rsid w:val="00661890"/>
    <w:rsid w:val="006C6399"/>
    <w:rsid w:val="00791FE3"/>
    <w:rsid w:val="007A6255"/>
    <w:rsid w:val="007F44DD"/>
    <w:rsid w:val="00853AC6"/>
    <w:rsid w:val="0086795A"/>
    <w:rsid w:val="008705EA"/>
    <w:rsid w:val="008B7726"/>
    <w:rsid w:val="009367E2"/>
    <w:rsid w:val="00941FB1"/>
    <w:rsid w:val="009575FF"/>
    <w:rsid w:val="00975C59"/>
    <w:rsid w:val="00996A98"/>
    <w:rsid w:val="009F4753"/>
    <w:rsid w:val="00A042A1"/>
    <w:rsid w:val="00A17EFF"/>
    <w:rsid w:val="00A27287"/>
    <w:rsid w:val="00AF4098"/>
    <w:rsid w:val="00B17AB9"/>
    <w:rsid w:val="00B651B7"/>
    <w:rsid w:val="00C07362"/>
    <w:rsid w:val="00C159DA"/>
    <w:rsid w:val="00C25FA5"/>
    <w:rsid w:val="00C31AFC"/>
    <w:rsid w:val="00C62071"/>
    <w:rsid w:val="00CC7676"/>
    <w:rsid w:val="00D31D50"/>
    <w:rsid w:val="00D674DD"/>
    <w:rsid w:val="00DB0257"/>
    <w:rsid w:val="00DB6360"/>
    <w:rsid w:val="00DD1CA5"/>
    <w:rsid w:val="00E0051A"/>
    <w:rsid w:val="00EA672B"/>
    <w:rsid w:val="00F07681"/>
    <w:rsid w:val="00F11998"/>
    <w:rsid w:val="00F3631E"/>
    <w:rsid w:val="00FA0D1A"/>
    <w:rsid w:val="00FC3B4D"/>
    <w:rsid w:val="00FF7D5E"/>
    <w:rsid w:val="20B14D9C"/>
    <w:rsid w:val="470B7083"/>
    <w:rsid w:val="4C5E1A87"/>
    <w:rsid w:val="51A87AAE"/>
    <w:rsid w:val="55932458"/>
    <w:rsid w:val="59F02D01"/>
    <w:rsid w:val="6BD14A53"/>
    <w:rsid w:val="769951DD"/>
    <w:rsid w:val="7BF93FD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lsdException w:name="caption" w:locked="1" w:uiPriority="0" w:qFormat="1"/>
    <w:lsdException w:name="Title" w:locked="1" w:semiHidden="0" w:uiPriority="0" w:unhideWhenUsed="0" w:qFormat="1"/>
    <w:lsdException w:name="Default Paragraph Font" w:unhideWhenUsed="0"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semiHidden="0" w:unhideWhenUsed="0"/>
    <w:lsdException w:name="Normal Table" w:semiHidden="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FC8"/>
    <w:pPr>
      <w:adjustRightInd w:val="0"/>
      <w:snapToGrid w:val="0"/>
      <w:spacing w:after="200"/>
    </w:pPr>
    <w:rPr>
      <w:rFonts w:ascii="Tahoma" w:eastAsia="微软雅黑"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370FC8"/>
    <w:pPr>
      <w:tabs>
        <w:tab w:val="center" w:pos="4153"/>
        <w:tab w:val="right" w:pos="8306"/>
      </w:tabs>
    </w:pPr>
    <w:rPr>
      <w:sz w:val="18"/>
      <w:szCs w:val="18"/>
    </w:rPr>
  </w:style>
  <w:style w:type="paragraph" w:styleId="a4">
    <w:name w:val="header"/>
    <w:basedOn w:val="a"/>
    <w:link w:val="Char0"/>
    <w:uiPriority w:val="99"/>
    <w:qFormat/>
    <w:rsid w:val="00370FC8"/>
    <w:pPr>
      <w:pBdr>
        <w:bottom w:val="single" w:sz="6" w:space="1" w:color="auto"/>
      </w:pBdr>
      <w:tabs>
        <w:tab w:val="center" w:pos="4153"/>
        <w:tab w:val="right" w:pos="8306"/>
      </w:tabs>
      <w:jc w:val="center"/>
    </w:pPr>
    <w:rPr>
      <w:sz w:val="18"/>
      <w:szCs w:val="18"/>
    </w:rPr>
  </w:style>
  <w:style w:type="paragraph" w:styleId="a5">
    <w:name w:val="Normal (Web)"/>
    <w:basedOn w:val="a"/>
    <w:uiPriority w:val="99"/>
    <w:rsid w:val="00370FC8"/>
    <w:pPr>
      <w:adjustRightInd/>
      <w:snapToGrid/>
      <w:spacing w:before="100" w:beforeAutospacing="1" w:after="100" w:afterAutospacing="1"/>
    </w:pPr>
    <w:rPr>
      <w:rFonts w:ascii="宋体" w:eastAsia="宋体" w:hAnsi="宋体" w:cs="宋体"/>
      <w:sz w:val="24"/>
      <w:szCs w:val="24"/>
    </w:rPr>
  </w:style>
  <w:style w:type="character" w:customStyle="1" w:styleId="Char">
    <w:name w:val="页脚 Char"/>
    <w:basedOn w:val="a0"/>
    <w:link w:val="a3"/>
    <w:uiPriority w:val="99"/>
    <w:qFormat/>
    <w:locked/>
    <w:rsid w:val="00370FC8"/>
    <w:rPr>
      <w:rFonts w:ascii="Tahoma" w:hAnsi="Tahoma" w:cs="Times New Roman"/>
      <w:sz w:val="18"/>
      <w:szCs w:val="18"/>
    </w:rPr>
  </w:style>
  <w:style w:type="character" w:customStyle="1" w:styleId="Char0">
    <w:name w:val="页眉 Char"/>
    <w:basedOn w:val="a0"/>
    <w:link w:val="a4"/>
    <w:uiPriority w:val="99"/>
    <w:semiHidden/>
    <w:qFormat/>
    <w:locked/>
    <w:rsid w:val="00370FC8"/>
    <w:rPr>
      <w:rFonts w:ascii="Tahoma" w:hAnsi="Tahoma" w:cs="Times New Roman"/>
      <w:sz w:val="18"/>
      <w:szCs w:val="18"/>
    </w:rPr>
  </w:style>
  <w:style w:type="paragraph" w:customStyle="1" w:styleId="ListParagraph1">
    <w:name w:val="List Paragraph1"/>
    <w:basedOn w:val="a"/>
    <w:uiPriority w:val="99"/>
    <w:qFormat/>
    <w:rsid w:val="00370FC8"/>
    <w:pPr>
      <w:ind w:firstLineChars="200" w:firstLine="420"/>
    </w:pPr>
  </w:style>
</w:styles>
</file>

<file path=word/webSettings.xml><?xml version="1.0" encoding="utf-8"?>
<w:webSettings xmlns:r="http://schemas.openxmlformats.org/officeDocument/2006/relationships" xmlns:w="http://schemas.openxmlformats.org/wordprocessingml/2006/main">
  <w:divs>
    <w:div w:id="745147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2027</Characters>
  <Application>Microsoft Office Word</Application>
  <DocSecurity>0</DocSecurity>
  <Lines>16</Lines>
  <Paragraphs>4</Paragraphs>
  <ScaleCrop>false</ScaleCrop>
  <Company/>
  <LinksUpToDate>false</LinksUpToDate>
  <CharactersWithSpaces>2378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康平县发展和改革局2016年度</dc:title>
  <dc:creator>Administrator</dc:creator>
  <cp:lastModifiedBy>Administrator</cp:lastModifiedBy>
  <cp:revision>16</cp:revision>
  <dcterms:created xsi:type="dcterms:W3CDTF">2017-06-05T02:50:00Z</dcterms:created>
  <dcterms:modified xsi:type="dcterms:W3CDTF">2017-10-26T07:33:00Z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