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jc w:val="center"/>
        <w:rPr>
          <w:rFonts w:ascii="黑体" w:hAnsi="黑体" w:eastAsia="黑体"/>
          <w:sz w:val="44"/>
          <w:szCs w:val="44"/>
        </w:rPr>
      </w:pPr>
      <w:r>
        <w:rPr>
          <w:rFonts w:hint="eastAsia" w:ascii="黑体" w:hAnsi="黑体" w:eastAsia="黑体"/>
          <w:sz w:val="44"/>
          <w:szCs w:val="44"/>
          <w:lang w:eastAsia="zh-CN"/>
        </w:rPr>
        <w:t>康平县政府办公室</w:t>
      </w:r>
      <w:r>
        <w:rPr>
          <w:rFonts w:ascii="黑体" w:hAnsi="黑体" w:eastAsia="黑体"/>
          <w:sz w:val="44"/>
          <w:szCs w:val="44"/>
        </w:rPr>
        <w:t>2016</w:t>
      </w:r>
      <w:r>
        <w:rPr>
          <w:rFonts w:hint="eastAsia" w:ascii="黑体" w:hAnsi="黑体" w:eastAsia="黑体"/>
          <w:sz w:val="44"/>
          <w:szCs w:val="44"/>
        </w:rPr>
        <w:t>年度</w:t>
      </w:r>
    </w:p>
    <w:p>
      <w:pPr>
        <w:adjustRightInd/>
        <w:jc w:val="center"/>
        <w:rPr>
          <w:rFonts w:ascii="黑体" w:hAnsi="黑体" w:eastAsia="黑体"/>
          <w:sz w:val="44"/>
          <w:szCs w:val="44"/>
        </w:rPr>
      </w:pPr>
      <w:r>
        <w:rPr>
          <w:rFonts w:hint="eastAsia" w:ascii="黑体" w:hAnsi="黑体" w:eastAsia="黑体"/>
          <w:sz w:val="44"/>
          <w:szCs w:val="44"/>
        </w:rPr>
        <w:t>决算分析报告</w:t>
      </w:r>
    </w:p>
    <w:p>
      <w:pPr>
        <w:adjustRightInd/>
        <w:spacing w:after="0"/>
        <w:jc w:val="center"/>
        <w:rPr>
          <w:rFonts w:ascii="仿宋" w:hAnsi="仿宋" w:eastAsia="仿宋"/>
          <w:sz w:val="32"/>
          <w:szCs w:val="32"/>
        </w:rPr>
      </w:pPr>
    </w:p>
    <w:p>
      <w:pPr>
        <w:pStyle w:val="9"/>
        <w:widowControl w:val="0"/>
        <w:numPr>
          <w:ilvl w:val="0"/>
          <w:numId w:val="1"/>
        </w:numPr>
        <w:adjustRightInd/>
        <w:snapToGrid/>
        <w:spacing w:after="0" w:line="600" w:lineRule="exact"/>
        <w:ind w:firstLineChars="0"/>
        <w:jc w:val="both"/>
        <w:rPr>
          <w:rFonts w:ascii="仿宋_GB2312" w:hAnsi="仿宋" w:eastAsia="仿宋_GB2312"/>
          <w:sz w:val="32"/>
          <w:szCs w:val="32"/>
        </w:rPr>
      </w:pPr>
      <w:r>
        <w:rPr>
          <w:rFonts w:hint="eastAsia" w:ascii="仿宋_GB2312" w:hAnsi="仿宋" w:eastAsia="仿宋_GB2312"/>
          <w:sz w:val="32"/>
          <w:szCs w:val="32"/>
        </w:rPr>
        <w:t>部门基本情况</w:t>
      </w:r>
    </w:p>
    <w:p>
      <w:pPr>
        <w:adjustRightInd/>
        <w:spacing w:after="0" w:line="600" w:lineRule="exact"/>
        <w:ind w:firstLine="640" w:firstLineChars="200"/>
        <w:rPr>
          <w:rFonts w:hint="eastAsia" w:ascii="仿宋_GB2312"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、工作职能：</w:t>
      </w:r>
      <w:r>
        <w:rPr>
          <w:rFonts w:hint="eastAsia" w:ascii="仿宋_GB2312" w:eastAsia="仿宋_GB2312"/>
          <w:sz w:val="32"/>
          <w:szCs w:val="32"/>
        </w:rPr>
        <w:t>政府办公室是政府的综合办事机构。</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主要职责是： </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（一）负责政府日常文书处理和日常事务工作。</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（二）审批以县政府名义召开的各种会议。</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负责县政府会议的准备工作，协助县政府领导协调落实会议决定事项；</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(三)起草和审核以县政府、县政府办公室名义发布的公文。</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(四)协助县政府领导组织处理需由县政府直接处理的突发性事件和重大事故。</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(五)负责县政府值班工作，及时向县政府领导报告重要情况，协助处理县政府各部门反映的重要问题。</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(六)负责县政府领导参加的重要活动的组织和协调安排工作。</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(七)负责承办县政府党组的日常工作。</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(八)负责管理县政府办公室所属单位党的建设、领导班子和人事劳资、职称工作。负责管理县政府办公室和所属单位国有资产。</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(九)负责县政府和县政府办公室离退休人员的服务管理工作。</w:t>
      </w:r>
    </w:p>
    <w:p>
      <w:pPr>
        <w:adjustRightInd/>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rPr>
        <w:t>(十)完成县政府领导指示办理的其他工作任务。</w:t>
      </w:r>
    </w:p>
    <w:p>
      <w:pPr>
        <w:pStyle w:val="4"/>
        <w:spacing w:before="0" w:beforeAutospacing="0" w:after="0" w:afterAutospacing="0" w:line="600"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、单位机构数</w:t>
      </w:r>
      <w:r>
        <w:rPr>
          <w:rFonts w:ascii="仿宋_GB2312" w:hAnsi="仿宋" w:eastAsia="仿宋_GB2312"/>
          <w:sz w:val="32"/>
          <w:szCs w:val="32"/>
        </w:rPr>
        <w:t>1</w:t>
      </w:r>
      <w:r>
        <w:rPr>
          <w:rFonts w:hint="eastAsia" w:ascii="仿宋_GB2312" w:hAnsi="仿宋" w:eastAsia="仿宋_GB2312"/>
          <w:sz w:val="32"/>
          <w:szCs w:val="32"/>
        </w:rPr>
        <w:t>个，是财政全额拨款行政单位。</w:t>
      </w:r>
    </w:p>
    <w:p>
      <w:pPr>
        <w:pStyle w:val="4"/>
        <w:spacing w:before="0" w:beforeAutospacing="0" w:after="0" w:afterAutospacing="0" w:line="600" w:lineRule="exact"/>
        <w:ind w:firstLine="640" w:firstLineChars="20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、人员情况：</w:t>
      </w:r>
      <w:r>
        <w:rPr>
          <w:rFonts w:ascii="仿宋_GB2312" w:hAnsi="仿宋" w:eastAsia="仿宋_GB2312"/>
          <w:sz w:val="32"/>
          <w:szCs w:val="32"/>
        </w:rPr>
        <w:t>2016</w:t>
      </w:r>
      <w:r>
        <w:rPr>
          <w:rFonts w:hint="eastAsia" w:ascii="仿宋_GB2312" w:hAnsi="仿宋" w:eastAsia="仿宋_GB2312"/>
          <w:sz w:val="32"/>
          <w:szCs w:val="32"/>
        </w:rPr>
        <w:t>年初在职人员</w:t>
      </w:r>
      <w:r>
        <w:rPr>
          <w:rFonts w:hint="eastAsia" w:ascii="仿宋_GB2312" w:hAnsi="仿宋" w:eastAsia="仿宋_GB2312"/>
          <w:sz w:val="32"/>
          <w:szCs w:val="32"/>
          <w:lang w:val="en-US" w:eastAsia="zh-CN"/>
        </w:rPr>
        <w:t>63</w:t>
      </w:r>
      <w:r>
        <w:rPr>
          <w:rFonts w:hint="eastAsia" w:ascii="仿宋_GB2312" w:hAnsi="仿宋" w:eastAsia="仿宋_GB2312"/>
          <w:sz w:val="32"/>
          <w:szCs w:val="32"/>
        </w:rPr>
        <w:t>人，年末在职人员</w:t>
      </w:r>
      <w:r>
        <w:rPr>
          <w:rFonts w:hint="eastAsia" w:ascii="仿宋_GB2312" w:hAnsi="仿宋" w:eastAsia="仿宋_GB2312"/>
          <w:sz w:val="32"/>
          <w:szCs w:val="32"/>
          <w:lang w:val="en-US" w:eastAsia="zh-CN"/>
        </w:rPr>
        <w:t>63</w:t>
      </w:r>
      <w:r>
        <w:rPr>
          <w:rFonts w:hint="eastAsia" w:ascii="仿宋_GB2312" w:hAnsi="仿宋" w:eastAsia="仿宋_GB2312"/>
          <w:sz w:val="32"/>
          <w:szCs w:val="32"/>
        </w:rPr>
        <w:t>人。</w:t>
      </w:r>
    </w:p>
    <w:p>
      <w:pPr>
        <w:widowControl w:val="0"/>
        <w:adjustRightInd/>
        <w:snapToGrid/>
        <w:spacing w:after="0" w:line="60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rPr>
        <w:t>二、预决算情况分析</w:t>
      </w:r>
    </w:p>
    <w:p>
      <w:pPr>
        <w:spacing w:after="0" w:line="600" w:lineRule="exact"/>
        <w:ind w:left="360"/>
        <w:rPr>
          <w:rFonts w:ascii="仿宋_GB2312" w:hAnsi="仿宋_GB2312" w:eastAsia="仿宋_GB2312" w:cs="仿宋_GB2312"/>
          <w:sz w:val="32"/>
          <w:szCs w:val="32"/>
        </w:rPr>
      </w:pPr>
      <w:r>
        <w:rPr>
          <w:rFonts w:ascii="仿宋_GB2312" w:hAnsi="仿宋_GB2312" w:eastAsia="仿宋_GB2312" w:cs="仿宋_GB2312"/>
          <w:sz w:val="32"/>
          <w:szCs w:val="32"/>
        </w:rPr>
        <w:t xml:space="preserve">  1</w:t>
      </w:r>
      <w:r>
        <w:rPr>
          <w:rFonts w:hint="eastAsia" w:ascii="仿宋_GB2312" w:hAnsi="仿宋_GB2312" w:eastAsia="仿宋_GB2312" w:cs="仿宋_GB2312"/>
          <w:sz w:val="32"/>
          <w:szCs w:val="32"/>
        </w:rPr>
        <w:t>、预决算收支安排情况</w:t>
      </w:r>
    </w:p>
    <w:p>
      <w:pPr>
        <w:spacing w:after="0" w:line="600" w:lineRule="exact"/>
        <w:rPr>
          <w:rFonts w:ascii="仿宋_GB2312" w:hAnsi="仿宋" w:eastAsia="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我单位各项经费均为财政拨款，各项支出均按财政要求支出，预决算收支项目无差异。</w:t>
      </w:r>
    </w:p>
    <w:p>
      <w:pPr>
        <w:widowControl w:val="0"/>
        <w:adjustRightInd/>
        <w:snapToGrid/>
        <w:spacing w:after="0" w:line="600" w:lineRule="exact"/>
        <w:ind w:firstLine="640" w:firstLineChars="200"/>
        <w:jc w:val="both"/>
        <w:rPr>
          <w:rFonts w:hint="eastAsia"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、预决算收支情况</w:t>
      </w:r>
    </w:p>
    <w:p>
      <w:pPr>
        <w:spacing w:after="0" w:line="600" w:lineRule="exact"/>
        <w:rPr>
          <w:rFonts w:ascii="仿宋" w:hAnsi="仿宋" w:eastAsia="仿宋"/>
          <w:sz w:val="30"/>
          <w:szCs w:val="30"/>
        </w:rPr>
      </w:pPr>
      <w:r>
        <w:rPr>
          <w:rFonts w:hint="eastAsia" w:ascii="仿宋_GB2312" w:hAnsi="仿宋" w:eastAsia="仿宋_GB2312"/>
          <w:sz w:val="32"/>
          <w:szCs w:val="32"/>
        </w:rPr>
        <w:t>财政拨款收入年初预算数</w:t>
      </w:r>
      <w:r>
        <w:rPr>
          <w:rFonts w:hint="eastAsia" w:ascii="仿宋_GB2312" w:hAnsi="仿宋" w:eastAsia="仿宋_GB2312"/>
          <w:sz w:val="32"/>
          <w:szCs w:val="32"/>
          <w:lang w:val="en-US" w:eastAsia="zh-CN"/>
        </w:rPr>
        <w:t>7,200,115.14</w:t>
      </w:r>
      <w:r>
        <w:rPr>
          <w:rFonts w:hint="eastAsia" w:ascii="仿宋_GB2312" w:hAnsi="仿宋" w:eastAsia="仿宋_GB2312"/>
          <w:sz w:val="32"/>
          <w:szCs w:val="32"/>
        </w:rPr>
        <w:t>元，调整预算数</w:t>
      </w:r>
      <w:r>
        <w:rPr>
          <w:rFonts w:hint="eastAsia" w:ascii="仿宋_GB2312" w:hAnsi="仿宋" w:eastAsia="仿宋_GB2312"/>
          <w:sz w:val="32"/>
          <w:szCs w:val="32"/>
          <w:lang w:val="en-US" w:eastAsia="zh-CN"/>
        </w:rPr>
        <w:t>8,217,137.14</w:t>
      </w:r>
      <w:r>
        <w:rPr>
          <w:rFonts w:hint="eastAsia" w:ascii="仿宋_GB2312" w:hAnsi="仿宋" w:eastAsia="仿宋_GB2312"/>
          <w:sz w:val="32"/>
          <w:szCs w:val="32"/>
        </w:rPr>
        <w:t>元，决算数</w:t>
      </w:r>
      <w:r>
        <w:rPr>
          <w:rFonts w:hint="eastAsia" w:ascii="仿宋_GB2312" w:hAnsi="仿宋" w:eastAsia="仿宋_GB2312"/>
          <w:sz w:val="32"/>
          <w:szCs w:val="32"/>
          <w:lang w:val="en-US" w:eastAsia="zh-CN"/>
        </w:rPr>
        <w:t>8,217,137.14</w:t>
      </w:r>
      <w:r>
        <w:rPr>
          <w:rFonts w:hint="eastAsia" w:ascii="仿宋_GB2312" w:hAnsi="仿宋" w:eastAsia="仿宋_GB2312"/>
          <w:sz w:val="32"/>
          <w:szCs w:val="32"/>
        </w:rPr>
        <w:t>元。各项支出均按年初预算进行支出</w:t>
      </w:r>
      <w:r>
        <w:rPr>
          <w:rFonts w:hint="eastAsia" w:ascii="仿宋" w:hAnsi="仿宋" w:eastAsia="仿宋"/>
          <w:sz w:val="30"/>
          <w:szCs w:val="30"/>
        </w:rPr>
        <w:t>，支出的年初预算数</w:t>
      </w:r>
      <w:r>
        <w:rPr>
          <w:rFonts w:hint="eastAsia" w:ascii="仿宋_GB2312" w:hAnsi="仿宋" w:eastAsia="仿宋_GB2312"/>
          <w:sz w:val="32"/>
          <w:szCs w:val="32"/>
          <w:lang w:val="en-US" w:eastAsia="zh-CN"/>
        </w:rPr>
        <w:t>7,200,115.14</w:t>
      </w:r>
      <w:r>
        <w:rPr>
          <w:rFonts w:hint="eastAsia" w:ascii="仿宋" w:hAnsi="仿宋" w:eastAsia="仿宋"/>
          <w:sz w:val="30"/>
          <w:szCs w:val="30"/>
        </w:rPr>
        <w:t>元，调整预算数</w:t>
      </w:r>
      <w:r>
        <w:rPr>
          <w:rFonts w:hint="eastAsia" w:ascii="仿宋_GB2312" w:hAnsi="仿宋" w:eastAsia="仿宋_GB2312"/>
          <w:sz w:val="32"/>
          <w:szCs w:val="32"/>
          <w:lang w:val="en-US" w:eastAsia="zh-CN"/>
        </w:rPr>
        <w:t>8,217,137.14</w:t>
      </w:r>
      <w:r>
        <w:rPr>
          <w:rFonts w:hint="eastAsia" w:ascii="仿宋" w:hAnsi="仿宋" w:eastAsia="仿宋"/>
          <w:sz w:val="30"/>
          <w:szCs w:val="30"/>
        </w:rPr>
        <w:t>元，决算数</w:t>
      </w:r>
      <w:r>
        <w:rPr>
          <w:rFonts w:hint="eastAsia" w:ascii="仿宋_GB2312" w:hAnsi="仿宋" w:eastAsia="仿宋_GB2312"/>
          <w:sz w:val="32"/>
          <w:szCs w:val="32"/>
          <w:lang w:val="en-US" w:eastAsia="zh-CN"/>
        </w:rPr>
        <w:t>8,217,137.14</w:t>
      </w:r>
      <w:r>
        <w:rPr>
          <w:rFonts w:hint="eastAsia" w:ascii="仿宋" w:hAnsi="仿宋" w:eastAsia="仿宋"/>
          <w:sz w:val="30"/>
          <w:szCs w:val="30"/>
        </w:rPr>
        <w:t>元。</w:t>
      </w:r>
    </w:p>
    <w:p>
      <w:pPr>
        <w:numPr>
          <w:ilvl w:val="0"/>
          <w:numId w:val="2"/>
        </w:numPr>
        <w:adjustRightInd/>
        <w:spacing w:after="0" w:line="600" w:lineRule="exact"/>
        <w:ind w:firstLine="640"/>
        <w:rPr>
          <w:rFonts w:ascii="仿宋_GB2312" w:hAnsi="仿宋" w:eastAsia="仿宋_GB2312"/>
          <w:sz w:val="32"/>
          <w:szCs w:val="32"/>
        </w:rPr>
      </w:pPr>
      <w:r>
        <w:rPr>
          <w:rFonts w:hint="eastAsia" w:ascii="仿宋_GB2312" w:hAnsi="仿宋" w:eastAsia="仿宋_GB2312"/>
          <w:sz w:val="32"/>
          <w:szCs w:val="32"/>
        </w:rPr>
        <w:t>资产情况</w:t>
      </w:r>
    </w:p>
    <w:p>
      <w:pPr>
        <w:adjustRightInd/>
        <w:spacing w:after="0" w:line="600" w:lineRule="exact"/>
        <w:rPr>
          <w:rFonts w:hint="eastAsia" w:ascii="仿宋_GB2312" w:hAnsi="仿宋" w:eastAsia="仿宋_GB2312"/>
          <w:sz w:val="32"/>
          <w:szCs w:val="32"/>
        </w:rPr>
      </w:pPr>
      <w:r>
        <w:rPr>
          <w:rFonts w:ascii="仿宋_GB2312" w:hAnsi="仿宋" w:eastAsia="仿宋_GB2312"/>
          <w:sz w:val="32"/>
          <w:szCs w:val="32"/>
        </w:rPr>
        <w:t xml:space="preserve">    </w:t>
      </w:r>
      <w:r>
        <w:rPr>
          <w:rFonts w:hint="eastAsia" w:ascii="仿宋_GB2312" w:hAnsi="仿宋" w:eastAsia="仿宋_GB2312"/>
          <w:sz w:val="32"/>
          <w:szCs w:val="32"/>
        </w:rPr>
        <w:t>固定资产</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150559元。</w:t>
      </w:r>
    </w:p>
    <w:p>
      <w:pPr>
        <w:adjustRightInd/>
        <w:spacing w:after="0" w:line="600" w:lineRule="exact"/>
        <w:ind w:firstLine="640" w:firstLineChars="200"/>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sz w:val="32"/>
          <w:szCs w:val="32"/>
        </w:rPr>
        <w:t>、三公经费情况</w:t>
      </w:r>
    </w:p>
    <w:p>
      <w:pPr>
        <w:adjustRightInd/>
        <w:spacing w:after="0" w:line="60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eastAsia="zh-CN"/>
        </w:rPr>
        <w:t>公车</w:t>
      </w:r>
      <w:r>
        <w:rPr>
          <w:rFonts w:hint="eastAsia" w:ascii="仿宋_GB2312" w:hAnsi="仿宋" w:eastAsia="仿宋_GB2312"/>
          <w:sz w:val="32"/>
          <w:szCs w:val="32"/>
        </w:rPr>
        <w:t>经费支出3245.2</w:t>
      </w:r>
      <w:r>
        <w:rPr>
          <w:rFonts w:hint="eastAsia" w:ascii="仿宋_GB2312" w:hAnsi="仿宋" w:eastAsia="仿宋_GB2312"/>
          <w:sz w:val="32"/>
          <w:szCs w:val="32"/>
          <w:lang w:eastAsia="zh-CN"/>
        </w:rPr>
        <w:t>元。</w:t>
      </w:r>
    </w:p>
    <w:p>
      <w:pPr>
        <w:numPr>
          <w:numId w:val="0"/>
        </w:numPr>
        <w:adjustRightInd/>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机关运行费安排</w:t>
      </w:r>
    </w:p>
    <w:p>
      <w:pPr>
        <w:numPr>
          <w:ilvl w:val="0"/>
          <w:numId w:val="0"/>
        </w:numPr>
        <w:adjustRightInd/>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2016年度机关运行费为253245.2元。</w:t>
      </w:r>
    </w:p>
    <w:p>
      <w:pPr>
        <w:numPr>
          <w:ilvl w:val="0"/>
          <w:numId w:val="3"/>
        </w:numPr>
        <w:adjustRightInd/>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财政性资金采购计划金额为239000元，实际采购金额为210560元。</w:t>
      </w:r>
    </w:p>
    <w:p>
      <w:pPr>
        <w:numPr>
          <w:ilvl w:val="0"/>
          <w:numId w:val="3"/>
        </w:numPr>
        <w:adjustRightInd/>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财政专户管理资金收入支出决算</w:t>
      </w:r>
      <w:r>
        <w:rPr>
          <w:rFonts w:hint="eastAsia" w:ascii="仿宋_GB2312" w:hAnsi="仿宋" w:eastAsia="仿宋_GB2312"/>
          <w:sz w:val="32"/>
          <w:szCs w:val="32"/>
          <w:lang w:eastAsia="zh-CN"/>
        </w:rPr>
        <w:t>均为</w:t>
      </w:r>
      <w:r>
        <w:rPr>
          <w:rFonts w:hint="eastAsia" w:ascii="仿宋_GB2312" w:hAnsi="仿宋" w:eastAsia="仿宋_GB2312"/>
          <w:sz w:val="32"/>
          <w:szCs w:val="32"/>
          <w:lang w:val="en-US" w:eastAsia="zh-CN"/>
        </w:rPr>
        <w:t>0</w:t>
      </w:r>
      <w:r>
        <w:rPr>
          <w:rFonts w:hint="eastAsia" w:ascii="仿宋_GB2312" w:hAnsi="仿宋" w:eastAsia="仿宋_GB2312"/>
          <w:sz w:val="32"/>
          <w:szCs w:val="32"/>
        </w:rPr>
        <w:t>元。</w:t>
      </w:r>
    </w:p>
    <w:p>
      <w:pPr>
        <w:numPr>
          <w:numId w:val="0"/>
        </w:numPr>
        <w:adjustRightInd/>
        <w:spacing w:after="0" w:line="600" w:lineRule="exact"/>
        <w:rPr>
          <w:rFonts w:hint="eastAsia" w:ascii="仿宋_GB2312" w:hAnsi="仿宋" w:eastAsia="仿宋_GB2312"/>
          <w:sz w:val="32"/>
          <w:szCs w:val="32"/>
        </w:rPr>
      </w:pPr>
      <w:bookmarkStart w:id="0" w:name="_GoBack"/>
      <w:bookmarkEnd w:id="0"/>
    </w:p>
    <w:p>
      <w:pPr>
        <w:numPr>
          <w:ilvl w:val="0"/>
          <w:numId w:val="0"/>
        </w:numPr>
        <w:adjustRightInd/>
        <w:spacing w:after="0" w:line="600" w:lineRule="exact"/>
        <w:ind w:firstLine="640" w:firstLineChars="200"/>
        <w:rPr>
          <w:rFonts w:hint="eastAsia" w:ascii="仿宋_GB2312" w:hAnsi="仿宋" w:eastAsia="仿宋_GB2312"/>
          <w:sz w:val="32"/>
          <w:szCs w:val="32"/>
          <w:lang w:val="en-US" w:eastAsia="zh-CN"/>
        </w:rPr>
      </w:pPr>
    </w:p>
    <w:p>
      <w:pPr>
        <w:adjustRightInd/>
        <w:spacing w:after="0" w:line="600" w:lineRule="exact"/>
        <w:ind w:firstLine="640" w:firstLineChars="200"/>
        <w:rPr>
          <w:rFonts w:hint="eastAsia" w:ascii="仿宋_GB2312" w:hAnsi="仿宋" w:eastAsia="仿宋_GB2312"/>
          <w:sz w:val="32"/>
          <w:szCs w:val="32"/>
          <w:lang w:eastAsia="zh-CN"/>
        </w:rPr>
      </w:pPr>
    </w:p>
    <w:p>
      <w:pPr>
        <w:adjustRightInd/>
        <w:spacing w:after="0" w:line="600" w:lineRule="exact"/>
        <w:ind w:firstLine="640" w:firstLineChars="200"/>
        <w:rPr>
          <w:rFonts w:ascii="仿宋_GB2312" w:hAnsi="仿宋" w:eastAsia="仿宋_GB2312"/>
          <w:sz w:val="32"/>
          <w:szCs w:val="32"/>
        </w:rPr>
      </w:pPr>
    </w:p>
    <w:p>
      <w:pPr>
        <w:adjustRightInd/>
        <w:spacing w:after="0" w:line="600" w:lineRule="exact"/>
        <w:ind w:firstLine="3840" w:firstLineChars="1200"/>
        <w:rPr>
          <w:rFonts w:ascii="仿宋_GB2312" w:hAnsi="仿宋" w:eastAsia="仿宋_GB2312"/>
          <w:sz w:val="32"/>
          <w:szCs w:val="32"/>
        </w:rPr>
      </w:pPr>
    </w:p>
    <w:p>
      <w:pPr>
        <w:adjustRightInd/>
        <w:spacing w:after="0" w:line="600" w:lineRule="exact"/>
        <w:ind w:firstLine="3840" w:firstLineChars="1200"/>
        <w:rPr>
          <w:rFonts w:ascii="仿宋_GB2312" w:hAnsi="仿宋" w:eastAsia="仿宋_GB2312"/>
          <w:sz w:val="32"/>
          <w:szCs w:val="32"/>
        </w:rPr>
      </w:pPr>
      <w:r>
        <w:rPr>
          <w:rFonts w:ascii="仿宋_GB2312" w:hAnsi="仿宋" w:eastAsia="仿宋_GB2312"/>
          <w:sz w:val="32"/>
          <w:szCs w:val="32"/>
        </w:rPr>
        <w:t xml:space="preserve">         </w:t>
      </w:r>
      <w:r>
        <w:rPr>
          <w:rFonts w:hint="eastAsia" w:ascii="仿宋_GB2312" w:hAnsi="仿宋" w:eastAsia="仿宋_GB2312"/>
          <w:sz w:val="32"/>
          <w:szCs w:val="32"/>
          <w:lang w:eastAsia="zh-CN"/>
        </w:rPr>
        <w:t>康平县政府办公室</w:t>
      </w:r>
    </w:p>
    <w:p>
      <w:pPr>
        <w:adjustRightInd/>
        <w:spacing w:after="0" w:line="600" w:lineRule="exact"/>
        <w:ind w:firstLine="4480" w:firstLineChars="1400"/>
        <w:rPr>
          <w:rFonts w:ascii="仿宋_GB2312" w:hAnsi="仿宋" w:eastAsia="仿宋_GB2312"/>
          <w:sz w:val="32"/>
          <w:szCs w:val="32"/>
        </w:rPr>
      </w:pPr>
      <w:r>
        <w:rPr>
          <w:rFonts w:ascii="仿宋_GB2312" w:hAnsi="仿宋" w:eastAsia="仿宋_GB2312"/>
          <w:sz w:val="32"/>
          <w:szCs w:val="32"/>
        </w:rPr>
        <w:t xml:space="preserve">     2017</w:t>
      </w:r>
      <w:r>
        <w:rPr>
          <w:rFonts w:hint="eastAsia" w:ascii="仿宋_GB2312" w:hAnsi="仿宋" w:eastAsia="仿宋_GB2312"/>
          <w:sz w:val="32"/>
          <w:szCs w:val="32"/>
        </w:rPr>
        <w:t>年</w:t>
      </w:r>
      <w:r>
        <w:rPr>
          <w:rFonts w:ascii="仿宋_GB2312" w:hAnsi="仿宋" w:eastAsia="仿宋_GB2312"/>
          <w:sz w:val="32"/>
          <w:szCs w:val="32"/>
        </w:rPr>
        <w:t>6</w:t>
      </w:r>
      <w:r>
        <w:rPr>
          <w:rFonts w:hint="eastAsia" w:ascii="仿宋_GB2312" w:hAnsi="仿宋" w:eastAsia="仿宋_GB2312"/>
          <w:sz w:val="32"/>
          <w:szCs w:val="32"/>
        </w:rPr>
        <w:t>月</w:t>
      </w:r>
      <w:r>
        <w:rPr>
          <w:rFonts w:ascii="仿宋_GB2312" w:hAnsi="仿宋" w:eastAsia="仿宋_GB2312"/>
          <w:sz w:val="32"/>
          <w:szCs w:val="32"/>
        </w:rPr>
        <w:t>6</w:t>
      </w:r>
      <w:r>
        <w:rPr>
          <w:rFonts w:hint="eastAsia" w:ascii="仿宋_GB2312" w:hAnsi="仿宋" w:eastAsia="仿宋_GB2312"/>
          <w:sz w:val="32"/>
          <w:szCs w:val="32"/>
        </w:rPr>
        <w:t>日</w:t>
      </w:r>
    </w:p>
    <w:p>
      <w:pPr>
        <w:adjustRightInd/>
        <w:spacing w:after="0" w:line="600" w:lineRule="exact"/>
        <w:rPr>
          <w:rFonts w:ascii="仿宋_GB2312" w:hAnsi="仿宋" w:eastAsia="仿宋_GB2312"/>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2</w:t>
    </w:r>
    <w:r>
      <w:rPr>
        <w:lang w:val="zh-CN"/>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0D7F3"/>
    <w:multiLevelType w:val="singleLevel"/>
    <w:tmpl w:val="5930D7F3"/>
    <w:lvl w:ilvl="0" w:tentative="0">
      <w:start w:val="3"/>
      <w:numFmt w:val="decimal"/>
      <w:suff w:val="nothing"/>
      <w:lvlText w:val="%1、"/>
      <w:lvlJc w:val="left"/>
      <w:rPr>
        <w:rFonts w:cs="Times New Roman"/>
      </w:rPr>
    </w:lvl>
  </w:abstractNum>
  <w:abstractNum w:abstractNumId="1">
    <w:nsid w:val="59438041"/>
    <w:multiLevelType w:val="singleLevel"/>
    <w:tmpl w:val="59438041"/>
    <w:lvl w:ilvl="0" w:tentative="0">
      <w:start w:val="6"/>
      <w:numFmt w:val="decimal"/>
      <w:suff w:val="nothing"/>
      <w:lvlText w:val="%1、"/>
      <w:lvlJc w:val="left"/>
    </w:lvl>
  </w:abstractNum>
  <w:abstractNum w:abstractNumId="2">
    <w:nsid w:val="72347CD8"/>
    <w:multiLevelType w:val="multilevel"/>
    <w:tmpl w:val="72347CD8"/>
    <w:lvl w:ilvl="0" w:tentative="0">
      <w:start w:val="1"/>
      <w:numFmt w:val="japaneseCounting"/>
      <w:lvlText w:val="%1、"/>
      <w:lvlJc w:val="left"/>
      <w:pPr>
        <w:ind w:left="1360" w:hanging="720"/>
      </w:pPr>
      <w:rPr>
        <w:rFonts w:hint="default" w:cs="Times New Roman"/>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noLineBreaksAfter w:lang="zh-CN" w:val="$([{£¥·‘“〈《「『【〔〖〝﹙﹛﹝＄（．［｛￡￥"/>
  <w:noLineBreaksBefore w:lang="zh-CN" w:val="!%),.:;&gt;?]}¢¨°·ˇˉ―‖’”…‰′″›℃∶、。〃〉》」』】〕〗〞︶︺︾﹀﹄﹚﹜﹞！＂％＇），．：；？］｀｜｝～￠"/>
  <w:compat>
    <w:doNotExpandShiftReturn/>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82CFA"/>
    <w:rsid w:val="001215B2"/>
    <w:rsid w:val="001340B7"/>
    <w:rsid w:val="001A49C1"/>
    <w:rsid w:val="0022142B"/>
    <w:rsid w:val="00231E23"/>
    <w:rsid w:val="002A0AB6"/>
    <w:rsid w:val="00315E40"/>
    <w:rsid w:val="00323B43"/>
    <w:rsid w:val="00342251"/>
    <w:rsid w:val="00342DB3"/>
    <w:rsid w:val="00381D47"/>
    <w:rsid w:val="00386879"/>
    <w:rsid w:val="003D37D8"/>
    <w:rsid w:val="00413D62"/>
    <w:rsid w:val="00426133"/>
    <w:rsid w:val="004358AB"/>
    <w:rsid w:val="00463126"/>
    <w:rsid w:val="004C3F3D"/>
    <w:rsid w:val="004C6D11"/>
    <w:rsid w:val="004D1C20"/>
    <w:rsid w:val="004D43CD"/>
    <w:rsid w:val="005601C9"/>
    <w:rsid w:val="00591F41"/>
    <w:rsid w:val="00592C6C"/>
    <w:rsid w:val="00616EB3"/>
    <w:rsid w:val="0061742D"/>
    <w:rsid w:val="006271B1"/>
    <w:rsid w:val="00661890"/>
    <w:rsid w:val="007A6255"/>
    <w:rsid w:val="007F44DD"/>
    <w:rsid w:val="0086795A"/>
    <w:rsid w:val="008B7726"/>
    <w:rsid w:val="009367E2"/>
    <w:rsid w:val="00941FB1"/>
    <w:rsid w:val="00996A98"/>
    <w:rsid w:val="009F4753"/>
    <w:rsid w:val="00A042A1"/>
    <w:rsid w:val="00A17EFF"/>
    <w:rsid w:val="00B17AB9"/>
    <w:rsid w:val="00C159DA"/>
    <w:rsid w:val="00C62071"/>
    <w:rsid w:val="00D31D50"/>
    <w:rsid w:val="00D674DD"/>
    <w:rsid w:val="00DB0257"/>
    <w:rsid w:val="00DD1CA5"/>
    <w:rsid w:val="00E0051A"/>
    <w:rsid w:val="00F07681"/>
    <w:rsid w:val="00F11998"/>
    <w:rsid w:val="00F3631E"/>
    <w:rsid w:val="00FA0D1A"/>
    <w:rsid w:val="00FC3B4D"/>
    <w:rsid w:val="00FF7D5E"/>
    <w:rsid w:val="016B5F62"/>
    <w:rsid w:val="03694512"/>
    <w:rsid w:val="070F3C5D"/>
    <w:rsid w:val="16041F30"/>
    <w:rsid w:val="1BA517CC"/>
    <w:rsid w:val="1BBF0C9B"/>
    <w:rsid w:val="20B14D9C"/>
    <w:rsid w:val="213D1D78"/>
    <w:rsid w:val="2C2C5E50"/>
    <w:rsid w:val="34B934C1"/>
    <w:rsid w:val="470B7083"/>
    <w:rsid w:val="4C5E1A87"/>
    <w:rsid w:val="4D4B1C6C"/>
    <w:rsid w:val="55932458"/>
    <w:rsid w:val="59F02D01"/>
    <w:rsid w:val="5C081C9C"/>
    <w:rsid w:val="61B4390A"/>
    <w:rsid w:val="69092041"/>
    <w:rsid w:val="6BD14A53"/>
    <w:rsid w:val="6DEC6EE3"/>
    <w:rsid w:val="719515DA"/>
    <w:rsid w:val="75E129E1"/>
    <w:rsid w:val="7F3C5BE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kern w:val="0"/>
      <w:sz w:val="22"/>
      <w:szCs w:val="22"/>
      <w:lang w:val="en-US" w:eastAsia="zh-CN" w:bidi="ar-SA"/>
    </w:rPr>
  </w:style>
  <w:style w:type="character" w:default="1" w:styleId="5">
    <w:name w:val="Default Paragraph Font"/>
    <w:semiHidden/>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pPr>
    <w:rPr>
      <w:sz w:val="18"/>
      <w:szCs w:val="18"/>
    </w:rPr>
  </w:style>
  <w:style w:type="paragraph" w:styleId="3">
    <w:name w:val="header"/>
    <w:basedOn w:val="1"/>
    <w:link w:val="8"/>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character" w:customStyle="1" w:styleId="7">
    <w:name w:val="Footer Char"/>
    <w:basedOn w:val="5"/>
    <w:link w:val="2"/>
    <w:qFormat/>
    <w:locked/>
    <w:uiPriority w:val="99"/>
    <w:rPr>
      <w:rFonts w:ascii="Tahoma" w:hAnsi="Tahoma" w:cs="Times New Roman"/>
      <w:sz w:val="18"/>
      <w:szCs w:val="18"/>
    </w:rPr>
  </w:style>
  <w:style w:type="character" w:customStyle="1" w:styleId="8">
    <w:name w:val="Header Char"/>
    <w:basedOn w:val="5"/>
    <w:link w:val="3"/>
    <w:semiHidden/>
    <w:qFormat/>
    <w:locked/>
    <w:uiPriority w:val="99"/>
    <w:rPr>
      <w:rFonts w:ascii="Tahoma" w:hAnsi="Tahoma" w:cs="Times New Roman"/>
      <w:sz w:val="18"/>
      <w:szCs w:val="18"/>
    </w:rPr>
  </w:style>
  <w:style w:type="paragraph" w:customStyle="1" w:styleId="9">
    <w:name w:val="List Paragraph1"/>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2</Pages>
  <Words>98</Words>
  <Characters>561</Characters>
  <Lines>0</Lines>
  <Paragraphs>0</Paragraphs>
  <ScaleCrop>false</ScaleCrop>
  <LinksUpToDate>false</LinksUpToDate>
  <CharactersWithSpaces>0</CharactersWithSpaces>
  <Application>WPS Office_10.1.0.6554_F1E327BC-269C-435d-A152-05C5408002CA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2017-06-05T02:50:00Z</dcterms:created>
  <dc:creator>Administrator</dc:creator>
  <cp:lastModifiedBy>wang</cp:lastModifiedBy>
  <dcterms:modified xsi:type="dcterms:W3CDTF">2017-06-16T06:42:00Z</dcterms:modified>
  <dc:title>康平县发展和改革局2016年度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