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sz w:val="52"/>
          <w:szCs w:val="52"/>
        </w:rPr>
      </w:pPr>
      <w:r>
        <w:rPr>
          <w:rFonts w:hint="eastAsia" w:ascii="仿宋_GB2312" w:hAnsi="仿宋_GB2312" w:eastAsia="仿宋_GB2312" w:cs="仿宋_GB2312"/>
          <w:b/>
          <w:sz w:val="52"/>
          <w:szCs w:val="52"/>
        </w:rPr>
        <w:t>海洲乡政府</w:t>
      </w:r>
      <w:r>
        <w:rPr>
          <w:rFonts w:hint="eastAsia" w:ascii="仿宋_GB2312" w:hAnsi="仿宋_GB2312" w:eastAsia="仿宋_GB2312" w:cs="仿宋_GB2312"/>
          <w:b/>
          <w:sz w:val="52"/>
          <w:szCs w:val="52"/>
          <w:lang w:eastAsia="zh-CN"/>
        </w:rPr>
        <w:t>2016</w:t>
      </w:r>
      <w:r>
        <w:rPr>
          <w:rFonts w:hint="eastAsia" w:ascii="仿宋_GB2312" w:hAnsi="仿宋_GB2312" w:eastAsia="仿宋_GB2312" w:cs="仿宋_GB2312"/>
          <w:b/>
          <w:sz w:val="52"/>
          <w:szCs w:val="52"/>
        </w:rPr>
        <w:t>年度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sz w:val="52"/>
          <w:szCs w:val="52"/>
        </w:rPr>
      </w:pPr>
      <w:r>
        <w:rPr>
          <w:rFonts w:hint="eastAsia" w:ascii="仿宋_GB2312" w:hAnsi="仿宋_GB2312" w:eastAsia="仿宋_GB2312" w:cs="仿宋_GB2312"/>
          <w:b/>
          <w:sz w:val="52"/>
          <w:szCs w:val="52"/>
        </w:rPr>
        <w:t>部门决算分析报告</w:t>
      </w:r>
    </w:p>
    <w:p>
      <w:pPr>
        <w:snapToGrid w:val="0"/>
        <w:spacing w:line="588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一、基本情况</w:t>
      </w:r>
    </w:p>
    <w:p>
      <w:pPr>
        <w:pStyle w:val="4"/>
        <w:shd w:val="clear" w:color="auto" w:fill="FFFFFF"/>
        <w:spacing w:line="360" w:lineRule="atLeast"/>
        <w:ind w:firstLine="48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、主要职能：（1）制定和组织实施经济、科技和社会发展计划，组织经济运行，促进经济发展；（2）制定并组织实施村镇建设规划，部署重点工程建设；（3）负责本行政区域内的社会公益事业的综合性工作；（4）按计划组织本级财政收入和地方税的征收，完成国家财政计划；（5）完成上级政府交办的其它事项。</w:t>
      </w:r>
    </w:p>
    <w:p>
      <w:pPr>
        <w:spacing w:line="560" w:lineRule="exact"/>
        <w:ind w:firstLine="480" w:firstLineChars="1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2、机构人员情况：2016年末共有机构数是1个，其中全额预算单位为1个（行政机关1个），</w:t>
      </w:r>
      <w:r>
        <w:rPr>
          <w:rFonts w:hint="eastAsia" w:ascii="仿宋_GB2312" w:eastAsia="仿宋_GB2312"/>
          <w:sz w:val="32"/>
          <w:szCs w:val="32"/>
        </w:rPr>
        <w:t>到</w:t>
      </w:r>
      <w:r>
        <w:rPr>
          <w:rFonts w:hint="eastAsia" w:ascii="仿宋_GB2312" w:eastAsia="仿宋_GB2312"/>
          <w:sz w:val="32"/>
          <w:szCs w:val="32"/>
          <w:lang w:eastAsia="zh-CN"/>
        </w:rPr>
        <w:t>2016</w:t>
      </w:r>
      <w:r>
        <w:rPr>
          <w:rFonts w:hint="eastAsia" w:ascii="仿宋_GB2312" w:eastAsia="仿宋_GB2312"/>
          <w:sz w:val="32"/>
          <w:szCs w:val="32"/>
        </w:rPr>
        <w:t>年年末，行政人员共有29人，其中在职13人，退休16人；事业人员共有17人，其中在职14人，退休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人。</w:t>
      </w:r>
    </w:p>
    <w:p>
      <w:pPr>
        <w:ind w:firstLine="493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3、机构人员当年变动情况及原因：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无变化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snapToGrid w:val="0"/>
        <w:spacing w:line="588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二、收入支出预算执行情况分析</w:t>
      </w:r>
    </w:p>
    <w:p>
      <w:pPr>
        <w:snapToGrid w:val="0"/>
        <w:spacing w:line="588" w:lineRule="exact"/>
        <w:ind w:firstLine="64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1、收入支出预算安排情况</w:t>
      </w:r>
    </w:p>
    <w:p>
      <w:pPr>
        <w:spacing w:line="560" w:lineRule="exact"/>
        <w:ind w:left="420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kern w:val="0"/>
          <w:sz w:val="32"/>
          <w:szCs w:val="30"/>
        </w:rPr>
        <w:t>本年支出总额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569.7</w:t>
      </w:r>
      <w:r>
        <w:rPr>
          <w:rFonts w:hint="eastAsia" w:ascii="仿宋_GB2312" w:hAnsi="宋体" w:eastAsia="仿宋_GB2312" w:cs="宋体"/>
          <w:kern w:val="0"/>
          <w:sz w:val="32"/>
          <w:szCs w:val="30"/>
        </w:rPr>
        <w:t>万元，</w:t>
      </w:r>
      <w:r>
        <w:rPr>
          <w:rFonts w:hint="eastAsia" w:ascii="仿宋_GB2312" w:eastAsia="仿宋_GB2312"/>
          <w:sz w:val="32"/>
          <w:szCs w:val="30"/>
        </w:rPr>
        <w:t>其中一般公共服务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363.42</w:t>
      </w:r>
      <w:r>
        <w:rPr>
          <w:rFonts w:hint="eastAsia" w:ascii="仿宋_GB2312" w:eastAsia="仿宋_GB2312"/>
          <w:sz w:val="32"/>
          <w:szCs w:val="30"/>
        </w:rPr>
        <w:t>万元，占本年支出的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64</w:t>
      </w:r>
      <w:r>
        <w:rPr>
          <w:rFonts w:hint="eastAsia" w:ascii="仿宋_GB2312" w:eastAsia="仿宋_GB2312"/>
          <w:sz w:val="32"/>
          <w:szCs w:val="30"/>
        </w:rPr>
        <w:t>%；社会保障和就业支出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35.58</w:t>
      </w:r>
      <w:r>
        <w:rPr>
          <w:rFonts w:hint="eastAsia" w:ascii="仿宋_GB2312" w:eastAsia="仿宋_GB2312"/>
          <w:sz w:val="32"/>
          <w:szCs w:val="30"/>
        </w:rPr>
        <w:t>万元，占本年支出的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0"/>
        </w:rPr>
        <w:t>%；医疗卫生与计划生育支出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26.67</w:t>
      </w:r>
      <w:r>
        <w:rPr>
          <w:rFonts w:hint="eastAsia" w:ascii="仿宋_GB2312" w:eastAsia="仿宋_GB2312"/>
          <w:sz w:val="32"/>
          <w:szCs w:val="30"/>
        </w:rPr>
        <w:t>万元，占本年支出的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0"/>
        </w:rPr>
        <w:t>%；</w:t>
      </w:r>
      <w:r>
        <w:rPr>
          <w:rFonts w:hint="eastAsia" w:ascii="仿宋_GB2312" w:hAnsi="宋体" w:eastAsia="仿宋_GB2312" w:cs="宋体"/>
          <w:kern w:val="0"/>
          <w:sz w:val="32"/>
          <w:szCs w:val="30"/>
        </w:rPr>
        <w:t>农林水支出</w:t>
      </w:r>
      <w:r>
        <w:rPr>
          <w:rFonts w:hint="eastAsia" w:ascii="仿宋_GB2312" w:hAnsi="宋体" w:eastAsia="仿宋_GB2312" w:cs="宋体"/>
          <w:kern w:val="0"/>
          <w:sz w:val="32"/>
          <w:szCs w:val="30"/>
          <w:lang w:val="en-US" w:eastAsia="zh-CN"/>
        </w:rPr>
        <w:t>98.6</w:t>
      </w:r>
      <w:r>
        <w:rPr>
          <w:rFonts w:hint="eastAsia" w:ascii="仿宋_GB2312" w:hAnsi="宋体" w:eastAsia="仿宋_GB2312" w:cs="宋体"/>
          <w:kern w:val="0"/>
          <w:sz w:val="32"/>
          <w:szCs w:val="30"/>
        </w:rPr>
        <w:t>万元，占本年支出的</w:t>
      </w:r>
      <w:r>
        <w:rPr>
          <w:rFonts w:hint="eastAsia" w:ascii="仿宋_GB2312" w:hAnsi="宋体" w:eastAsia="仿宋_GB2312" w:cs="宋体"/>
          <w:kern w:val="0"/>
          <w:sz w:val="32"/>
          <w:szCs w:val="30"/>
          <w:lang w:val="en-US" w:eastAsia="zh-CN"/>
        </w:rPr>
        <w:t>17</w:t>
      </w:r>
      <w:r>
        <w:rPr>
          <w:rFonts w:hint="eastAsia" w:ascii="仿宋_GB2312" w:hAnsi="宋体" w:eastAsia="仿宋_GB2312" w:cs="宋体"/>
          <w:kern w:val="0"/>
          <w:sz w:val="32"/>
          <w:szCs w:val="30"/>
        </w:rPr>
        <w:t>%</w:t>
      </w:r>
      <w:r>
        <w:rPr>
          <w:rFonts w:hint="eastAsia" w:ascii="仿宋_GB2312" w:eastAsia="仿宋_GB2312"/>
          <w:sz w:val="32"/>
          <w:szCs w:val="30"/>
        </w:rPr>
        <w:t>；</w:t>
      </w:r>
      <w:r>
        <w:rPr>
          <w:rFonts w:hint="eastAsia" w:ascii="仿宋_GB2312" w:hAnsi="宋体" w:eastAsia="仿宋_GB2312" w:cs="宋体"/>
          <w:kern w:val="0"/>
          <w:sz w:val="32"/>
          <w:szCs w:val="30"/>
        </w:rPr>
        <w:t>住房保障支出3</w:t>
      </w:r>
      <w:r>
        <w:rPr>
          <w:rFonts w:hint="eastAsia" w:ascii="仿宋_GB2312" w:hAnsi="宋体" w:eastAsia="仿宋_GB2312" w:cs="宋体"/>
          <w:kern w:val="0"/>
          <w:sz w:val="32"/>
          <w:szCs w:val="30"/>
          <w:lang w:val="en-US" w:eastAsia="zh-CN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0"/>
        </w:rPr>
        <w:t>万元，占本年支出的</w:t>
      </w:r>
      <w:r>
        <w:rPr>
          <w:rFonts w:hint="eastAsia" w:ascii="仿宋_GB2312" w:hAnsi="宋体" w:eastAsia="仿宋_GB2312" w:cs="宋体"/>
          <w:kern w:val="0"/>
          <w:sz w:val="32"/>
          <w:szCs w:val="30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0"/>
        </w:rPr>
        <w:t>%</w:t>
      </w:r>
      <w:r>
        <w:rPr>
          <w:rFonts w:hint="eastAsia" w:ascii="仿宋_GB2312" w:eastAsia="仿宋_GB2312"/>
          <w:sz w:val="32"/>
          <w:szCs w:val="30"/>
        </w:rPr>
        <w:t>；</w:t>
      </w:r>
      <w:r>
        <w:rPr>
          <w:rFonts w:hint="eastAsia" w:ascii="仿宋_GB2312" w:hAnsi="宋体" w:eastAsia="仿宋_GB2312" w:cs="宋体"/>
          <w:kern w:val="0"/>
          <w:sz w:val="32"/>
          <w:szCs w:val="30"/>
          <w:lang w:eastAsia="zh-CN"/>
        </w:rPr>
        <w:t>其他支出</w:t>
      </w:r>
      <w:r>
        <w:rPr>
          <w:rFonts w:hint="eastAsia" w:ascii="仿宋_GB2312" w:hAnsi="宋体" w:eastAsia="仿宋_GB2312" w:cs="宋体"/>
          <w:kern w:val="0"/>
          <w:sz w:val="32"/>
          <w:szCs w:val="30"/>
          <w:lang w:val="en-US" w:eastAsia="zh-CN"/>
        </w:rPr>
        <w:t>11.43万元，</w:t>
      </w:r>
      <w:r>
        <w:rPr>
          <w:rFonts w:hint="eastAsia" w:ascii="仿宋_GB2312" w:eastAsia="仿宋_GB2312"/>
          <w:sz w:val="32"/>
          <w:szCs w:val="30"/>
        </w:rPr>
        <w:t>占本年支出的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0"/>
        </w:rPr>
        <w:t>%；</w:t>
      </w:r>
    </w:p>
    <w:p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pacing w:line="520" w:lineRule="atLeast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三公经费情况</w:t>
      </w:r>
    </w:p>
    <w:p>
      <w:pPr>
        <w:widowControl/>
        <w:spacing w:line="520" w:lineRule="atLeas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本年三公经费支出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，较上年减少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8%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，减少的原因主要是公车改革后公务用车费用减少。</w:t>
      </w:r>
    </w:p>
    <w:p>
      <w:pPr>
        <w:widowControl/>
        <w:numPr>
          <w:ilvl w:val="0"/>
          <w:numId w:val="1"/>
        </w:numPr>
        <w:spacing w:line="520" w:lineRule="atLeas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机关运行费情况</w:t>
      </w:r>
    </w:p>
    <w:p>
      <w:pPr>
        <w:widowControl/>
        <w:numPr>
          <w:ilvl w:val="0"/>
          <w:numId w:val="0"/>
        </w:numPr>
        <w:spacing w:line="520" w:lineRule="atLeast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机关运行费支出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112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万元，较上年增加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85.57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万元，增加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423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，增加的主要原因是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2016年工资进行了调整，工资福利支出增加，办公经费也有所增加。</w:t>
      </w:r>
    </w:p>
    <w:p>
      <w:pPr>
        <w:widowControl/>
        <w:numPr>
          <w:ilvl w:val="0"/>
          <w:numId w:val="1"/>
        </w:numPr>
        <w:spacing w:line="520" w:lineRule="atLeas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政府采购支出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情况</w:t>
      </w:r>
    </w:p>
    <w:p>
      <w:pPr>
        <w:widowControl/>
        <w:numPr>
          <w:ilvl w:val="0"/>
          <w:numId w:val="0"/>
        </w:numPr>
        <w:spacing w:line="520" w:lineRule="atLeast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 xml:space="preserve">    我单位没有政府采购，因此没有此项支出，公示的表中此项支出没有数据。</w:t>
      </w:r>
    </w:p>
    <w:p>
      <w:pPr>
        <w:widowControl/>
        <w:spacing w:line="520" w:lineRule="atLeast"/>
        <w:ind w:firstLine="636" w:firstLineChars="198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、公开方式及时间</w:t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本年度由财政局统一在康平县人民政府网“财政预决算信息”公开专栏进行公开。</w:t>
      </w:r>
    </w:p>
    <w:p>
      <w:pPr>
        <w:tabs>
          <w:tab w:val="left" w:pos="658"/>
        </w:tabs>
        <w:jc w:val="left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-SA"/>
        </w:rPr>
      </w:pPr>
    </w:p>
    <w:p>
      <w:pPr>
        <w:widowControl/>
        <w:spacing w:line="520" w:lineRule="atLeas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康平县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海洲窝堡乡人民政府</w:t>
      </w:r>
    </w:p>
    <w:p>
      <w:pPr>
        <w:widowControl/>
        <w:spacing w:line="520" w:lineRule="atLeast"/>
        <w:ind w:firstLine="5120" w:firstLineChars="16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2017年6月1日</w:t>
      </w:r>
    </w:p>
    <w:p>
      <w:pPr>
        <w:tabs>
          <w:tab w:val="left" w:pos="5113"/>
        </w:tabs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华文行楷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A023E"/>
    <w:multiLevelType w:val="singleLevel"/>
    <w:tmpl w:val="593A023E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9E0641"/>
    <w:rsid w:val="38C532CE"/>
    <w:rsid w:val="40921E47"/>
    <w:rsid w:val="75902802"/>
    <w:rsid w:val="793A22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2017-06-09T03:06:10Z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