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8"/>
          <w:szCs w:val="48"/>
        </w:rPr>
      </w:pPr>
      <w:r>
        <w:rPr>
          <w:rFonts w:hint="eastAsia" w:ascii="宋体" w:hAnsi="宋体" w:eastAsia="宋体" w:cs="宋体"/>
          <w:sz w:val="48"/>
          <w:szCs w:val="48"/>
        </w:rPr>
        <w:t>部门决算公开报告</w:t>
      </w:r>
    </w:p>
    <w:p>
      <w:pPr>
        <w:snapToGrid w:val="0"/>
        <w:spacing w:line="588" w:lineRule="exact"/>
        <w:rPr>
          <w:rFonts w:hint="eastAsia" w:ascii="宋体" w:hAnsi="宋体"/>
          <w:b w:val="0"/>
          <w:bCs w:val="0"/>
          <w:sz w:val="32"/>
          <w:szCs w:val="32"/>
        </w:rPr>
      </w:pPr>
      <w:r>
        <w:rPr>
          <w:rFonts w:hint="eastAsia" w:ascii="宋体" w:hAnsi="宋体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一、基本情况</w:t>
      </w:r>
    </w:p>
    <w:p>
      <w:pPr>
        <w:pStyle w:val="4"/>
        <w:shd w:val="clear" w:color="auto" w:fill="FFFFFF"/>
        <w:spacing w:line="360" w:lineRule="atLeast"/>
        <w:ind w:firstLine="480"/>
        <w:jc w:val="left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1、主要职能：（1）制定和组织实施经济、科技和社会发展计划，组织经济运行，促进经济发展；（2）制定并组织实施村镇建设规划，部署重点工程建设；（3）负责本行政区域内的社会公益事业的综合性工作；（4）按计划组织本级财政收入和地方税的征收，完成国家财政计划；（5）完成上级政府交办的其它事项。</w:t>
      </w:r>
    </w:p>
    <w:p>
      <w:pPr>
        <w:pStyle w:val="4"/>
        <w:spacing w:line="520" w:lineRule="atLeast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2、机构人员情况：2016年末共有机构数是1个，其中全额预算单位为1个（行政机关1个），到201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32"/>
          <w:szCs w:val="32"/>
        </w:rPr>
        <w:t>年年末，行政人员共有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27</w:t>
      </w:r>
      <w:r>
        <w:rPr>
          <w:rFonts w:hint="eastAsia" w:ascii="宋体" w:hAnsi="宋体" w:eastAsia="宋体" w:cs="宋体"/>
          <w:sz w:val="32"/>
          <w:szCs w:val="32"/>
        </w:rPr>
        <w:t>人，其中在职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17</w:t>
      </w:r>
      <w:r>
        <w:rPr>
          <w:rFonts w:hint="eastAsia" w:ascii="宋体" w:hAnsi="宋体" w:eastAsia="宋体" w:cs="宋体"/>
          <w:sz w:val="32"/>
          <w:szCs w:val="32"/>
        </w:rPr>
        <w:t>人，退休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32"/>
          <w:szCs w:val="32"/>
        </w:rPr>
        <w:t>人；事业人员共有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17</w:t>
      </w:r>
      <w:r>
        <w:rPr>
          <w:rFonts w:hint="eastAsia" w:ascii="宋体" w:hAnsi="宋体" w:eastAsia="宋体" w:cs="宋体"/>
          <w:sz w:val="32"/>
          <w:szCs w:val="32"/>
        </w:rPr>
        <w:t>人，其中在职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13</w:t>
      </w:r>
      <w:r>
        <w:rPr>
          <w:rFonts w:hint="eastAsia" w:ascii="宋体" w:hAnsi="宋体" w:eastAsia="宋体" w:cs="宋体"/>
          <w:sz w:val="32"/>
          <w:szCs w:val="32"/>
        </w:rPr>
        <w:t>人，退休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32"/>
          <w:szCs w:val="32"/>
        </w:rPr>
        <w:t>人。与上年比较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事业在职减少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1人，调出到开发区</w:t>
      </w:r>
      <w:r>
        <w:rPr>
          <w:rFonts w:hint="eastAsia" w:ascii="宋体" w:hAnsi="宋体" w:eastAsia="宋体" w:cs="宋体"/>
          <w:sz w:val="32"/>
          <w:szCs w:val="32"/>
        </w:rPr>
        <w:t>。</w:t>
      </w:r>
    </w:p>
    <w:p>
      <w:pPr>
        <w:ind w:firstLine="493" w:firstLineChars="0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3、机构人员当年变动情况及原因：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事业调出一人。</w:t>
      </w:r>
    </w:p>
    <w:p>
      <w:pPr>
        <w:snapToGrid w:val="0"/>
        <w:spacing w:line="588" w:lineRule="exact"/>
        <w:ind w:firstLine="64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二、收入支出预算执行情况分析</w:t>
      </w:r>
    </w:p>
    <w:p>
      <w:pPr>
        <w:ind w:firstLine="562" w:firstLineChars="20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二、收入决算情况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2016年</w:t>
      </w:r>
      <w:r>
        <w:rPr>
          <w:rFonts w:hint="eastAsia"/>
          <w:sz w:val="28"/>
          <w:szCs w:val="28"/>
          <w:lang w:eastAsia="zh-CN"/>
        </w:rPr>
        <w:t>二牛所口镇</w:t>
      </w:r>
      <w:r>
        <w:rPr>
          <w:rFonts w:hint="eastAsia"/>
          <w:sz w:val="28"/>
          <w:szCs w:val="28"/>
        </w:rPr>
        <w:t>决算收入总计金额</w:t>
      </w:r>
      <w:r>
        <w:rPr>
          <w:rFonts w:hint="eastAsia"/>
          <w:sz w:val="28"/>
          <w:szCs w:val="28"/>
          <w:lang w:val="en-US" w:eastAsia="zh-CN"/>
        </w:rPr>
        <w:t>1249</w:t>
      </w:r>
      <w:r>
        <w:rPr>
          <w:rFonts w:hint="eastAsia"/>
          <w:sz w:val="28"/>
          <w:szCs w:val="28"/>
        </w:rPr>
        <w:t>万元。其中财政拨款</w:t>
      </w:r>
      <w:r>
        <w:rPr>
          <w:rFonts w:hint="eastAsia"/>
          <w:sz w:val="28"/>
          <w:szCs w:val="28"/>
          <w:lang w:val="en-US" w:eastAsia="zh-CN"/>
        </w:rPr>
        <w:t>1249</w:t>
      </w:r>
      <w:r>
        <w:rPr>
          <w:rFonts w:hint="eastAsia"/>
          <w:sz w:val="28"/>
          <w:szCs w:val="28"/>
        </w:rPr>
        <w:t>万元。</w:t>
      </w:r>
    </w:p>
    <w:p>
      <w:pPr>
        <w:ind w:firstLine="562" w:firstLineChars="20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三、支出情况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2016年全年支出</w:t>
      </w:r>
      <w:r>
        <w:rPr>
          <w:rFonts w:hint="eastAsia"/>
          <w:sz w:val="28"/>
          <w:szCs w:val="28"/>
          <w:lang w:val="en-US" w:eastAsia="zh-CN"/>
        </w:rPr>
        <w:t>1249</w:t>
      </w:r>
      <w:r>
        <w:rPr>
          <w:rFonts w:hint="eastAsia"/>
          <w:sz w:val="28"/>
          <w:szCs w:val="28"/>
        </w:rPr>
        <w:t>万元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其中：一般公共服务支出：</w:t>
      </w:r>
      <w:r>
        <w:rPr>
          <w:rFonts w:hint="eastAsia"/>
          <w:sz w:val="28"/>
          <w:szCs w:val="28"/>
          <w:lang w:val="en-US" w:eastAsia="zh-CN"/>
        </w:rPr>
        <w:t>605.82</w:t>
      </w:r>
      <w:r>
        <w:rPr>
          <w:rFonts w:hint="eastAsia"/>
          <w:sz w:val="28"/>
          <w:szCs w:val="28"/>
        </w:rPr>
        <w:t>万元，占总支出的</w:t>
      </w:r>
      <w:r>
        <w:rPr>
          <w:rFonts w:hint="eastAsia"/>
          <w:sz w:val="28"/>
          <w:szCs w:val="28"/>
          <w:lang w:val="en-US" w:eastAsia="zh-CN"/>
        </w:rPr>
        <w:t>48.5</w:t>
      </w:r>
      <w:r>
        <w:rPr>
          <w:rFonts w:hint="eastAsia"/>
          <w:sz w:val="28"/>
          <w:szCs w:val="28"/>
        </w:rPr>
        <w:t>%；社会和保障就业支出：</w:t>
      </w:r>
      <w:r>
        <w:rPr>
          <w:rFonts w:hint="eastAsia"/>
          <w:sz w:val="28"/>
          <w:szCs w:val="28"/>
          <w:lang w:val="en-US" w:eastAsia="zh-CN"/>
        </w:rPr>
        <w:t>85.13</w:t>
      </w:r>
      <w:r>
        <w:rPr>
          <w:rFonts w:hint="eastAsia"/>
          <w:sz w:val="28"/>
          <w:szCs w:val="28"/>
        </w:rPr>
        <w:t>万元，占总支出的</w:t>
      </w:r>
      <w:r>
        <w:rPr>
          <w:rFonts w:hint="eastAsia"/>
          <w:sz w:val="28"/>
          <w:szCs w:val="28"/>
          <w:lang w:val="en-US" w:eastAsia="zh-CN"/>
        </w:rPr>
        <w:t>6.82</w:t>
      </w:r>
      <w:r>
        <w:rPr>
          <w:rFonts w:hint="eastAsia"/>
          <w:sz w:val="28"/>
          <w:szCs w:val="28"/>
        </w:rPr>
        <w:t>%；医疗卫生与计划生育支出：</w:t>
      </w:r>
      <w:r>
        <w:rPr>
          <w:rFonts w:hint="eastAsia"/>
          <w:sz w:val="28"/>
          <w:szCs w:val="28"/>
          <w:lang w:val="en-US" w:eastAsia="zh-CN"/>
        </w:rPr>
        <w:t>31.02</w:t>
      </w:r>
      <w:r>
        <w:rPr>
          <w:rFonts w:hint="eastAsia"/>
          <w:sz w:val="28"/>
          <w:szCs w:val="28"/>
        </w:rPr>
        <w:t>万元，占总支出的</w:t>
      </w:r>
      <w:r>
        <w:rPr>
          <w:rFonts w:hint="eastAsia"/>
          <w:sz w:val="28"/>
          <w:szCs w:val="28"/>
          <w:lang w:val="en-US" w:eastAsia="zh-CN"/>
        </w:rPr>
        <w:t>2.48</w:t>
      </w:r>
      <w:r>
        <w:rPr>
          <w:rFonts w:hint="eastAsia"/>
          <w:sz w:val="28"/>
          <w:szCs w:val="28"/>
        </w:rPr>
        <w:t>%；节能环保支出：</w:t>
      </w:r>
      <w:r>
        <w:rPr>
          <w:rFonts w:hint="eastAsia"/>
          <w:sz w:val="28"/>
          <w:szCs w:val="28"/>
          <w:lang w:val="en-US" w:eastAsia="zh-CN"/>
        </w:rPr>
        <w:t>397.03</w:t>
      </w:r>
      <w:r>
        <w:rPr>
          <w:rFonts w:hint="eastAsia"/>
          <w:sz w:val="28"/>
          <w:szCs w:val="28"/>
        </w:rPr>
        <w:t>万元，占总支出的</w:t>
      </w:r>
      <w:r>
        <w:rPr>
          <w:rFonts w:hint="eastAsia"/>
          <w:sz w:val="28"/>
          <w:szCs w:val="28"/>
          <w:lang w:val="en-US" w:eastAsia="zh-CN"/>
        </w:rPr>
        <w:t>31.79</w:t>
      </w:r>
      <w:r>
        <w:rPr>
          <w:rFonts w:hint="eastAsia"/>
          <w:sz w:val="28"/>
          <w:szCs w:val="28"/>
        </w:rPr>
        <w:t>%；农林水支出：</w:t>
      </w:r>
      <w:r>
        <w:rPr>
          <w:rFonts w:hint="eastAsia"/>
          <w:sz w:val="28"/>
          <w:szCs w:val="28"/>
          <w:lang w:val="en-US" w:eastAsia="zh-CN"/>
        </w:rPr>
        <w:t>103</w:t>
      </w:r>
      <w:r>
        <w:rPr>
          <w:rFonts w:hint="eastAsia"/>
          <w:sz w:val="28"/>
          <w:szCs w:val="28"/>
        </w:rPr>
        <w:t>万元，占总支出的</w:t>
      </w:r>
      <w:r>
        <w:rPr>
          <w:rFonts w:hint="eastAsia"/>
          <w:sz w:val="28"/>
          <w:szCs w:val="28"/>
          <w:lang w:val="en-US" w:eastAsia="zh-CN"/>
        </w:rPr>
        <w:t>8.25</w:t>
      </w:r>
      <w:r>
        <w:rPr>
          <w:rFonts w:hint="eastAsia"/>
          <w:sz w:val="28"/>
          <w:szCs w:val="28"/>
        </w:rPr>
        <w:t>%；</w:t>
      </w:r>
      <w:r>
        <w:rPr>
          <w:rFonts w:hint="eastAsia" w:cs="Arial"/>
          <w:color w:val="000000"/>
          <w:sz w:val="28"/>
          <w:szCs w:val="28"/>
        </w:rPr>
        <w:t>住房保障支出：</w:t>
      </w:r>
      <w:r>
        <w:rPr>
          <w:rFonts w:hint="eastAsia" w:cs="Arial"/>
          <w:color w:val="000000"/>
          <w:sz w:val="28"/>
          <w:szCs w:val="28"/>
          <w:lang w:val="en-US" w:eastAsia="zh-CN"/>
        </w:rPr>
        <w:t>27</w:t>
      </w:r>
      <w:r>
        <w:rPr>
          <w:rFonts w:hint="eastAsia" w:cs="Arial"/>
          <w:color w:val="000000"/>
          <w:sz w:val="28"/>
          <w:szCs w:val="28"/>
        </w:rPr>
        <w:t>万元，</w:t>
      </w:r>
      <w:r>
        <w:rPr>
          <w:rFonts w:hint="eastAsia"/>
          <w:sz w:val="28"/>
          <w:szCs w:val="28"/>
        </w:rPr>
        <w:t>占总支出的</w:t>
      </w:r>
      <w:r>
        <w:rPr>
          <w:rFonts w:hint="eastAsia"/>
          <w:sz w:val="28"/>
          <w:szCs w:val="28"/>
          <w:lang w:val="en-US" w:eastAsia="zh-CN"/>
        </w:rPr>
        <w:t>2.16</w:t>
      </w:r>
      <w:r>
        <w:rPr>
          <w:rFonts w:hint="eastAsia"/>
          <w:sz w:val="28"/>
          <w:szCs w:val="28"/>
        </w:rPr>
        <w:t>%</w:t>
      </w:r>
      <w:r>
        <w:rPr>
          <w:rFonts w:hint="eastAsia" w:cs="Arial"/>
          <w:color w:val="000000"/>
          <w:sz w:val="28"/>
          <w:szCs w:val="28"/>
        </w:rPr>
        <w:t>。</w:t>
      </w:r>
    </w:p>
    <w:p>
      <w:pPr>
        <w:widowControl/>
        <w:spacing w:line="520" w:lineRule="atLeast"/>
        <w:rPr>
          <w:rFonts w:hint="eastAsia" w:ascii="宋体" w:hAnsi="宋体" w:eastAsia="宋体" w:cs="宋体"/>
          <w:b w:val="0"/>
          <w:bCs w:val="0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kern w:val="0"/>
          <w:sz w:val="32"/>
          <w:szCs w:val="32"/>
        </w:rPr>
        <w:t>2、</w:t>
      </w:r>
      <w:r>
        <w:rPr>
          <w:rFonts w:hint="eastAsia" w:ascii="宋体" w:hAnsi="宋体" w:eastAsia="宋体" w:cs="宋体"/>
          <w:b w:val="0"/>
          <w:bCs w:val="0"/>
          <w:kern w:val="0"/>
          <w:sz w:val="32"/>
          <w:szCs w:val="32"/>
          <w:lang w:eastAsia="zh-CN"/>
        </w:rPr>
        <w:t>三公经费情况</w:t>
      </w:r>
    </w:p>
    <w:p>
      <w:pPr>
        <w:widowControl/>
        <w:spacing w:line="520" w:lineRule="atLeast"/>
        <w:ind w:firstLine="640"/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  <w:t>本年三公经费支出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23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  <w:t>万元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eastAsia="zh-CN"/>
        </w:rPr>
        <w:t>，其中公车维护费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12万元，较上年减少0.5万元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eastAsia="zh-CN"/>
        </w:rPr>
        <w:t>，减少的原因主要是公车改革后公务用车费用减少；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公务接待11万元，较上年减少0.5万元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eastAsia="zh-CN"/>
        </w:rPr>
        <w:t>，减少的原因主要是公务接待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eastAsia="zh-CN"/>
        </w:rPr>
        <w:t>减少。</w:t>
      </w:r>
    </w:p>
    <w:p>
      <w:pPr>
        <w:widowControl/>
        <w:numPr>
          <w:ilvl w:val="0"/>
          <w:numId w:val="1"/>
        </w:numPr>
        <w:spacing w:line="520" w:lineRule="atLeast"/>
        <w:ind w:firstLine="640"/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  <w:t>政府采购支出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eastAsia="zh-CN"/>
        </w:rPr>
        <w:t>情况</w:t>
      </w:r>
    </w:p>
    <w:p>
      <w:pPr>
        <w:widowControl/>
        <w:numPr>
          <w:ilvl w:val="0"/>
          <w:numId w:val="0"/>
        </w:numPr>
        <w:spacing w:line="520" w:lineRule="atLeast"/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 xml:space="preserve">    我单位没有政府采购，因此没有此项支出，公示的表中此项支出没有数据。</w:t>
      </w:r>
    </w:p>
    <w:p>
      <w:pPr>
        <w:widowControl/>
        <w:spacing w:line="520" w:lineRule="atLeast"/>
        <w:ind w:firstLine="636" w:firstLineChars="198"/>
        <w:rPr>
          <w:rFonts w:hint="eastAsia" w:ascii="宋体" w:hAnsi="宋体" w:eastAsia="宋体" w:cs="宋体"/>
          <w:b w:val="0"/>
          <w:bCs/>
          <w:kern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/>
          <w:sz w:val="32"/>
          <w:szCs w:val="32"/>
        </w:rPr>
        <w:t>、公开方式及时间</w:t>
      </w:r>
    </w:p>
    <w:p>
      <w:pPr>
        <w:rPr>
          <w:rFonts w:hint="eastAsia" w:ascii="宋体" w:hAnsi="宋体" w:eastAsia="宋体" w:cs="宋体"/>
          <w:b w:val="0"/>
          <w:bCs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32"/>
          <w:szCs w:val="32"/>
        </w:rPr>
        <w:t>本年度由财政局统一在康平县人民政府网“财政预决算信息”公开专栏进行公开。</w:t>
      </w:r>
    </w:p>
    <w:p>
      <w:pPr>
        <w:tabs>
          <w:tab w:val="left" w:pos="658"/>
        </w:tabs>
        <w:jc w:val="left"/>
        <w:rPr>
          <w:rFonts w:hint="eastAsia" w:ascii="宋体" w:hAnsi="宋体" w:eastAsia="宋体" w:cs="宋体"/>
          <w:b w:val="0"/>
          <w:bCs/>
          <w:kern w:val="0"/>
          <w:sz w:val="32"/>
          <w:szCs w:val="32"/>
          <w:lang w:val="en-US" w:eastAsia="zh-CN" w:bidi="ar-SA"/>
        </w:rPr>
      </w:pPr>
    </w:p>
    <w:p>
      <w:pPr>
        <w:rPr>
          <w:rFonts w:hint="eastAsia" w:ascii="宋体" w:hAnsi="宋体" w:eastAsia="宋体" w:cs="宋体"/>
          <w:b w:val="0"/>
          <w:bCs/>
          <w:kern w:val="0"/>
          <w:sz w:val="32"/>
          <w:szCs w:val="32"/>
          <w:lang w:val="en-US" w:eastAsia="zh-CN" w:bidi="ar-SA"/>
        </w:rPr>
      </w:pPr>
    </w:p>
    <w:p>
      <w:pPr>
        <w:rPr>
          <w:rFonts w:hint="eastAsia" w:ascii="宋体" w:hAnsi="宋体" w:eastAsia="宋体" w:cs="宋体"/>
          <w:b w:val="0"/>
          <w:bCs/>
          <w:kern w:val="0"/>
          <w:sz w:val="32"/>
          <w:szCs w:val="32"/>
          <w:lang w:val="en-US" w:eastAsia="zh-CN" w:bidi="ar-SA"/>
        </w:rPr>
      </w:pPr>
    </w:p>
    <w:p>
      <w:pPr>
        <w:widowControl/>
        <w:spacing w:line="520" w:lineRule="atLeast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kern w:val="0"/>
          <w:sz w:val="32"/>
          <w:szCs w:val="32"/>
        </w:rPr>
        <w:t>康平县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二牛所口镇人民政府</w:t>
      </w:r>
    </w:p>
    <w:p>
      <w:pPr>
        <w:widowControl/>
        <w:spacing w:line="520" w:lineRule="atLeast"/>
        <w:ind w:firstLine="5120" w:firstLineChars="16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2017年6月1日</w:t>
      </w:r>
    </w:p>
    <w:p>
      <w:pPr>
        <w:tabs>
          <w:tab w:val="left" w:pos="5113"/>
        </w:tabs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080F3C52" w:usb2="00000016" w:usb3="00000000" w:csb0="0004001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A023E"/>
    <w:multiLevelType w:val="singleLevel"/>
    <w:tmpl w:val="593A023E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3970EF"/>
    <w:rsid w:val="2B311F88"/>
    <w:rsid w:val="38C532CE"/>
    <w:rsid w:val="40921E47"/>
    <w:rsid w:val="554D7FE6"/>
    <w:rsid w:val="755058A3"/>
    <w:rsid w:val="7C5E7203"/>
    <w:rsid w:val="7F0555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2017-06-09T03:35:03Z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