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firstLine="723" w:firstLineChars="200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康平县残疾人联合会</w:t>
      </w:r>
      <w:r>
        <w:rPr>
          <w:rFonts w:hint="eastAsia" w:ascii="宋体" w:hAnsi="宋体"/>
          <w:b/>
          <w:sz w:val="36"/>
          <w:szCs w:val="36"/>
        </w:rPr>
        <w:t>20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20</w:t>
      </w:r>
      <w:r>
        <w:rPr>
          <w:rFonts w:hint="eastAsia" w:ascii="宋体" w:hAnsi="宋体"/>
          <w:b/>
          <w:sz w:val="36"/>
          <w:szCs w:val="36"/>
        </w:rPr>
        <w:t>年度部门决算情况</w:t>
      </w:r>
      <w:r>
        <w:rPr>
          <w:rFonts w:hint="eastAsia" w:ascii="宋体" w:hAnsi="宋体"/>
          <w:b/>
          <w:sz w:val="36"/>
          <w:szCs w:val="36"/>
          <w:lang w:eastAsia="zh-CN"/>
        </w:rPr>
        <w:t>补充</w:t>
      </w:r>
      <w:r>
        <w:rPr>
          <w:rFonts w:hint="eastAsia" w:ascii="宋体" w:hAnsi="宋体"/>
          <w:b/>
          <w:sz w:val="36"/>
          <w:szCs w:val="36"/>
        </w:rPr>
        <w:t>说明</w:t>
      </w:r>
    </w:p>
    <w:p>
      <w:pPr>
        <w:spacing w:line="540" w:lineRule="exact"/>
        <w:rPr>
          <w:rFonts w:hint="eastAsia" w:ascii="宋体" w:hAnsi="宋体"/>
          <w:b/>
          <w:sz w:val="36"/>
          <w:szCs w:val="36"/>
        </w:rPr>
      </w:pPr>
    </w:p>
    <w:p>
      <w:pPr>
        <w:ind w:firstLine="643" w:firstLineChars="200"/>
        <w:rPr>
          <w:rFonts w:hint="eastAsia" w:ascii="楷体_GB2312" w:hAnsi="宋体" w:eastAsia="楷体_GB2312"/>
          <w:b/>
          <w:sz w:val="32"/>
          <w:szCs w:val="32"/>
          <w:lang w:eastAsia="zh-CN"/>
        </w:rPr>
      </w:pPr>
      <w:r>
        <w:rPr>
          <w:rFonts w:hint="eastAsia" w:ascii="楷体_GB2312" w:hAnsi="宋体" w:eastAsia="楷体_GB2312"/>
          <w:b/>
          <w:sz w:val="32"/>
          <w:szCs w:val="32"/>
          <w:lang w:eastAsia="zh-CN"/>
        </w:rPr>
        <w:t>一</w:t>
      </w:r>
      <w:r>
        <w:rPr>
          <w:rFonts w:hint="eastAsia" w:ascii="楷体_GB2312" w:hAnsi="宋体" w:eastAsia="楷体_GB2312"/>
          <w:b/>
          <w:sz w:val="32"/>
          <w:szCs w:val="32"/>
          <w:lang w:val="en-US" w:eastAsia="zh-CN"/>
        </w:rPr>
        <w:t>.</w:t>
      </w:r>
      <w:r>
        <w:rPr>
          <w:rFonts w:hint="eastAsia" w:ascii="楷体_GB2312" w:hAnsi="宋体" w:eastAsia="楷体_GB2312"/>
          <w:b/>
          <w:sz w:val="32"/>
          <w:szCs w:val="32"/>
          <w:lang w:eastAsia="zh-CN"/>
        </w:rPr>
        <w:t>年末结转结余情况</w:t>
      </w:r>
    </w:p>
    <w:p>
      <w:pPr>
        <w:ind w:firstLine="643" w:firstLineChars="200"/>
        <w:rPr>
          <w:rFonts w:hint="eastAsia" w:ascii="楷体_GB2312" w:hAnsi="宋体" w:eastAsia="楷体_GB2312"/>
          <w:b/>
          <w:sz w:val="32"/>
          <w:szCs w:val="32"/>
        </w:rPr>
      </w:pPr>
      <w:r>
        <w:rPr>
          <w:rFonts w:hint="eastAsia" w:ascii="楷体_GB2312" w:hAnsi="宋体" w:eastAsia="楷体_GB2312"/>
          <w:b/>
          <w:sz w:val="32"/>
          <w:szCs w:val="32"/>
          <w:lang w:val="en-US" w:eastAsia="zh-CN"/>
        </w:rPr>
        <w:t>2020年度</w:t>
      </w:r>
      <w:bookmarkStart w:id="0" w:name="_GoBack"/>
      <w:bookmarkEnd w:id="0"/>
      <w:r>
        <w:rPr>
          <w:rFonts w:hint="eastAsia" w:ascii="楷体_GB2312" w:hAnsi="宋体" w:eastAsia="楷体_GB2312"/>
          <w:b/>
          <w:sz w:val="32"/>
          <w:szCs w:val="32"/>
        </w:rPr>
        <w:t>年末结转和结余</w:t>
      </w:r>
      <w:r>
        <w:rPr>
          <w:rFonts w:hint="eastAsia" w:ascii="楷体_GB2312" w:hAnsi="宋体" w:eastAsia="楷体_GB2312"/>
          <w:b/>
          <w:sz w:val="32"/>
          <w:szCs w:val="32"/>
          <w:lang w:val="en-US" w:eastAsia="zh-CN"/>
        </w:rPr>
        <w:t>0</w:t>
      </w:r>
      <w:r>
        <w:rPr>
          <w:rFonts w:hint="eastAsia" w:ascii="楷体_GB2312" w:hAnsi="宋体" w:eastAsia="楷体_GB2312"/>
          <w:b/>
          <w:sz w:val="32"/>
          <w:szCs w:val="32"/>
        </w:rPr>
        <w:t>万元。</w:t>
      </w:r>
    </w:p>
    <w:p>
      <w:pPr>
        <w:spacing w:line="540" w:lineRule="exact"/>
        <w:ind w:firstLine="645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.</w:t>
      </w:r>
      <w:r>
        <w:rPr>
          <w:rFonts w:hint="eastAsia" w:ascii="黑体" w:hAnsi="黑体" w:eastAsia="黑体"/>
          <w:sz w:val="32"/>
          <w:szCs w:val="32"/>
        </w:rPr>
        <w:t>一般公共预算财政拨款支出情况说明</w:t>
      </w:r>
    </w:p>
    <w:p>
      <w:pPr>
        <w:spacing w:line="540" w:lineRule="exact"/>
        <w:ind w:firstLine="645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2020</w:t>
      </w:r>
      <w:r>
        <w:rPr>
          <w:rFonts w:hint="eastAsia" w:ascii="仿宋_GB2312" w:hAnsi="宋体" w:eastAsia="仿宋_GB2312"/>
          <w:sz w:val="32"/>
          <w:szCs w:val="32"/>
        </w:rPr>
        <w:t>年度一般公共预算财政拨款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支出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752.61万元，包括</w:t>
      </w:r>
      <w:r>
        <w:rPr>
          <w:rFonts w:hint="eastAsia" w:ascii="仿宋_GB2312" w:hAnsi="宋体" w:eastAsia="仿宋_GB2312"/>
          <w:sz w:val="32"/>
          <w:szCs w:val="32"/>
        </w:rPr>
        <w:t>基本支出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99.90</w:t>
      </w:r>
      <w:r>
        <w:rPr>
          <w:rFonts w:hint="eastAsia" w:ascii="仿宋_GB2312" w:hAnsi="宋体" w:eastAsia="仿宋_GB2312"/>
          <w:sz w:val="32"/>
          <w:szCs w:val="32"/>
        </w:rPr>
        <w:t>万元，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项目支出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652.71万元。</w:t>
      </w:r>
    </w:p>
    <w:p>
      <w:pPr>
        <w:spacing w:line="540" w:lineRule="exact"/>
        <w:ind w:firstLine="645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三.政府性基金预算财政拨款支出情况。</w:t>
      </w:r>
    </w:p>
    <w:p>
      <w:pPr>
        <w:spacing w:line="540" w:lineRule="exact"/>
        <w:ind w:firstLine="645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2020年度政府性基金预算财政拨款支出22.29万元，较上年减少79.12万元。</w:t>
      </w:r>
    </w:p>
    <w:p>
      <w:pPr>
        <w:spacing w:line="540" w:lineRule="exact"/>
        <w:ind w:firstLine="645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四.国有资本经营预算财政拨款支出情况。</w:t>
      </w:r>
    </w:p>
    <w:p>
      <w:pPr>
        <w:spacing w:line="540" w:lineRule="exact"/>
        <w:ind w:firstLine="645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2020年度国有资本经营预算财政拨款无。</w:t>
      </w:r>
    </w:p>
    <w:p>
      <w:pPr>
        <w:spacing w:line="54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五.</w:t>
      </w:r>
      <w:r>
        <w:rPr>
          <w:rFonts w:hint="eastAsia" w:ascii="黑体" w:hAnsi="黑体" w:eastAsia="黑体"/>
          <w:sz w:val="32"/>
          <w:szCs w:val="32"/>
        </w:rPr>
        <w:t>一般公共预算财政拨款“三公”经费支出决算情况</w:t>
      </w:r>
    </w:p>
    <w:p>
      <w:pPr>
        <w:spacing w:line="540" w:lineRule="exact"/>
        <w:ind w:firstLine="645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2020</w:t>
      </w:r>
      <w:r>
        <w:rPr>
          <w:rFonts w:hint="eastAsia" w:ascii="仿宋_GB2312" w:hAnsi="宋体" w:eastAsia="仿宋_GB2312"/>
          <w:sz w:val="32"/>
          <w:szCs w:val="32"/>
        </w:rPr>
        <w:t>年度一般公共预算财政拨款安排的“三公”经费支出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sz w:val="32"/>
          <w:szCs w:val="32"/>
        </w:rPr>
        <w:t>万元，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较上年减少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4万元，</w:t>
      </w:r>
      <w:r>
        <w:rPr>
          <w:rFonts w:hint="eastAsia" w:ascii="仿宋_GB2312" w:hAnsi="宋体" w:eastAsia="仿宋_GB2312"/>
          <w:sz w:val="32"/>
          <w:szCs w:val="32"/>
        </w:rPr>
        <w:t>完成年初预算的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50</w:t>
      </w:r>
      <w:r>
        <w:rPr>
          <w:rFonts w:hint="eastAsia" w:ascii="仿宋_GB2312" w:hAnsi="宋体" w:eastAsia="仿宋_GB2312"/>
          <w:sz w:val="32"/>
          <w:szCs w:val="32"/>
        </w:rPr>
        <w:t>%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/>
          <w:sz w:val="32"/>
          <w:szCs w:val="32"/>
        </w:rPr>
        <w:t>其中：因公出国（境）费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万元，公务接待费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万元，公务用车购置及运行维护费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sz w:val="32"/>
          <w:szCs w:val="32"/>
        </w:rPr>
        <w:t>万元。</w:t>
      </w:r>
    </w:p>
    <w:p>
      <w:pPr>
        <w:numPr>
          <w:ilvl w:val="0"/>
          <w:numId w:val="1"/>
        </w:numPr>
        <w:spacing w:line="540" w:lineRule="exact"/>
        <w:ind w:firstLine="645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因公出国（境）费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万元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，本单位本年度上年度均无该项支出发生。</w:t>
      </w:r>
    </w:p>
    <w:p>
      <w:pPr>
        <w:numPr>
          <w:ilvl w:val="0"/>
          <w:numId w:val="0"/>
        </w:numPr>
        <w:spacing w:line="54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2.公务接待费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万元，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本单位上年度本年度均无该项支出发生。</w:t>
      </w:r>
    </w:p>
    <w:p>
      <w:pPr>
        <w:spacing w:line="540" w:lineRule="exact"/>
        <w:ind w:firstLine="645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3.</w:t>
      </w:r>
      <w:r>
        <w:rPr>
          <w:rFonts w:hint="eastAsia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公务用车购置及</w:t>
      </w:r>
      <w:r>
        <w:rPr>
          <w:rFonts w:ascii="仿宋_GB2312" w:hAnsi="宋体" w:eastAsia="仿宋_GB2312"/>
          <w:sz w:val="32"/>
          <w:szCs w:val="32"/>
        </w:rPr>
        <w:t>运行费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sz w:val="32"/>
          <w:szCs w:val="32"/>
        </w:rPr>
        <w:t>万元，比上年减少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/>
          <w:sz w:val="32"/>
          <w:szCs w:val="32"/>
        </w:rPr>
        <w:t>万元，下降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44</w:t>
      </w:r>
      <w:r>
        <w:rPr>
          <w:rFonts w:hint="eastAsia" w:ascii="仿宋_GB2312" w:hAnsi="宋体" w:eastAsia="仿宋_GB2312"/>
          <w:sz w:val="32"/>
          <w:szCs w:val="32"/>
        </w:rPr>
        <w:t>%，主要是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车辆运行次数较上年减少</w:t>
      </w:r>
      <w:r>
        <w:rPr>
          <w:rFonts w:hint="eastAsia" w:ascii="仿宋_GB2312" w:hAnsi="宋体" w:eastAsia="仿宋_GB2312"/>
          <w:sz w:val="32"/>
          <w:szCs w:val="32"/>
        </w:rPr>
        <w:t>等原因。</w:t>
      </w:r>
    </w:p>
    <w:p>
      <w:pPr>
        <w:spacing w:line="540" w:lineRule="exact"/>
        <w:ind w:firstLine="645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公务用车购置费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万元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</w:t>
      </w:r>
    </w:p>
    <w:p>
      <w:pPr>
        <w:spacing w:line="540" w:lineRule="exact"/>
        <w:ind w:firstLine="645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公务用车运行维护费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sz w:val="32"/>
          <w:szCs w:val="32"/>
        </w:rPr>
        <w:t>万元，主要用于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燃油费、维修费、过桥费</w:t>
      </w:r>
      <w:r>
        <w:rPr>
          <w:rFonts w:hint="eastAsia" w:ascii="仿宋_GB2312" w:hAnsi="宋体" w:eastAsia="仿宋_GB2312"/>
          <w:sz w:val="32"/>
          <w:szCs w:val="32"/>
        </w:rPr>
        <w:t>等。截至年末使用</w:t>
      </w:r>
      <w:r>
        <w:rPr>
          <w:rFonts w:ascii="仿宋_GB2312" w:hAnsi="宋体" w:eastAsia="仿宋_GB2312"/>
          <w:sz w:val="32"/>
          <w:szCs w:val="32"/>
        </w:rPr>
        <w:t>一般公共预算财政拨款开支的</w:t>
      </w:r>
      <w:r>
        <w:rPr>
          <w:rFonts w:hint="eastAsia" w:ascii="仿宋_GB2312" w:hAnsi="宋体" w:eastAsia="仿宋_GB2312"/>
          <w:sz w:val="32"/>
          <w:szCs w:val="32"/>
        </w:rPr>
        <w:t>公务用车保有量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辆。</w:t>
      </w:r>
    </w:p>
    <w:p>
      <w:pPr>
        <w:spacing w:line="540" w:lineRule="exact"/>
        <w:ind w:firstLine="660"/>
        <w:rPr>
          <w:rFonts w:hint="eastAsia" w:ascii="楷体" w:hAnsi="楷体" w:eastAsia="楷体"/>
          <w:b/>
          <w:sz w:val="32"/>
          <w:szCs w:val="32"/>
        </w:rPr>
      </w:pPr>
    </w:p>
    <w:p>
      <w:pPr>
        <w:rPr>
          <w:rFonts w:hint="eastAsia" w:ascii="楷体_GB2312" w:hAnsi="宋体" w:eastAsia="楷体_GB2312"/>
          <w:b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Verdana">
    <w:panose1 w:val="020B0604030504040204"/>
    <w:charset w:val="00"/>
    <w:family w:val="auto"/>
    <w:pitch w:val="default"/>
    <w:sig w:usb0="00000287" w:usb1="00000000" w:usb2="00000000" w:usb3="00000000" w:csb0="2000019F" w:csb1="00000000"/>
  </w:font>
  <w:font w:name="新宋体">
    <w:panose1 w:val="02010609030101010101"/>
    <w:charset w:val="86"/>
    <w:family w:val="auto"/>
    <w:pitch w:val="default"/>
    <w:sig w:usb0="00000003" w:usb1="080E0000" w:usb2="00000000" w:usb3="00000000" w:csb0="00040001" w:csb1="00000000"/>
  </w:font>
  <w:font w:name="宋体-PUA">
    <w:panose1 w:val="02010600030101010101"/>
    <w:charset w:val="86"/>
    <w:family w:val="auto"/>
    <w:pitch w:val="default"/>
    <w:sig w:usb0="00000000" w:usb1="10000000" w:usb2="00000000" w:usb3="00000000" w:csb0="00040000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D8B9152"/>
    <w:multiLevelType w:val="singleLevel"/>
    <w:tmpl w:val="CD8B915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8D5259"/>
    <w:rsid w:val="0B8318A9"/>
    <w:rsid w:val="708D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2022-03-01T08:15:00Z</dcterms:created>
  <dc:creator>Administrator</dc:creator>
  <cp:lastModifiedBy>Administrator</cp:lastModifiedBy>
  <dcterms:modified xsi:type="dcterms:W3CDTF">2022-03-02T00:58:01Z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