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rPr>
          <w:rFonts w:hint="eastAsia" w:ascii="宋体" w:hAnsi="宋体"/>
          <w:b/>
          <w:sz w:val="52"/>
          <w:szCs w:val="52"/>
        </w:rPr>
      </w:pPr>
    </w:p>
    <w:p>
      <w:pPr>
        <w:spacing w:line="540" w:lineRule="exact"/>
        <w:rPr>
          <w:rFonts w:hint="eastAsia" w:ascii="宋体" w:hAnsi="宋体"/>
          <w:b/>
          <w:sz w:val="52"/>
          <w:szCs w:val="52"/>
        </w:rPr>
      </w:pPr>
    </w:p>
    <w:p>
      <w:pPr>
        <w:spacing w:line="540" w:lineRule="exact"/>
        <w:rPr>
          <w:rFonts w:hint="eastAsia" w:ascii="宋体" w:hAnsi="宋体"/>
          <w:b/>
          <w:sz w:val="52"/>
          <w:szCs w:val="52"/>
        </w:rPr>
      </w:pPr>
    </w:p>
    <w:p>
      <w:pPr>
        <w:spacing w:line="540" w:lineRule="exact"/>
        <w:rPr>
          <w:rFonts w:hint="eastAsia" w:ascii="宋体" w:hAnsi="宋体"/>
          <w:b/>
          <w:sz w:val="52"/>
          <w:szCs w:val="52"/>
        </w:rPr>
      </w:pPr>
    </w:p>
    <w:p>
      <w:pPr>
        <w:spacing w:line="540" w:lineRule="exact"/>
        <w:rPr>
          <w:rFonts w:hint="eastAsia" w:ascii="宋体" w:hAnsi="宋体"/>
          <w:b/>
          <w:sz w:val="52"/>
          <w:szCs w:val="52"/>
        </w:rPr>
      </w:pPr>
    </w:p>
    <w:p>
      <w:pPr>
        <w:spacing w:line="540" w:lineRule="exact"/>
        <w:rPr>
          <w:rFonts w:hint="eastAsia" w:ascii="宋体" w:hAnsi="宋体"/>
          <w:b/>
          <w:sz w:val="52"/>
          <w:szCs w:val="52"/>
        </w:rPr>
      </w:pPr>
    </w:p>
    <w:p>
      <w:pPr>
        <w:spacing w:line="540" w:lineRule="exact"/>
        <w:jc w:val="center"/>
        <w:rPr>
          <w:rFonts w:hint="eastAsia"/>
          <w:b/>
          <w:sz w:val="48"/>
          <w:szCs w:val="48"/>
          <w:u w:val="single"/>
        </w:rPr>
      </w:pPr>
      <w:r>
        <w:rPr>
          <w:rFonts w:hint="eastAsia" w:ascii="宋体" w:hAnsi="宋体"/>
          <w:b/>
          <w:sz w:val="48"/>
          <w:szCs w:val="48"/>
        </w:rPr>
        <w:t>康平县东升满族蒙古族九年一贯制学校</w:t>
      </w:r>
      <w:r>
        <w:rPr>
          <w:rFonts w:hint="eastAsia" w:ascii="宋体" w:hAnsi="宋体"/>
          <w:b/>
          <w:sz w:val="52"/>
          <w:szCs w:val="52"/>
        </w:rPr>
        <w:t>2020年度部门决算</w:t>
      </w: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bookmarkStart w:id="0" w:name="_GoBack"/>
      <w:bookmarkEnd w:id="0"/>
      <w:r>
        <w:rPr>
          <w:rFonts w:hint="eastAsia"/>
          <w:b/>
          <w:sz w:val="44"/>
          <w:szCs w:val="44"/>
        </w:rPr>
        <w:t>目    录</w:t>
      </w: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ascii="黑体" w:hAnsi="黑体" w:eastAsia="黑体"/>
          <w:sz w:val="32"/>
          <w:szCs w:val="32"/>
        </w:rPr>
      </w:pPr>
      <w:r>
        <w:rPr>
          <w:rFonts w:hint="eastAsia" w:ascii="黑体" w:hAnsi="黑体" w:eastAsia="黑体"/>
          <w:sz w:val="32"/>
          <w:szCs w:val="32"/>
        </w:rPr>
        <w:t>第一部分   康平县东升满族蒙古族九年一贯制学校单位概况</w:t>
      </w:r>
    </w:p>
    <w:p>
      <w:pPr>
        <w:numPr>
          <w:ilvl w:val="0"/>
          <w:numId w:val="1"/>
        </w:numPr>
        <w:spacing w:line="540" w:lineRule="exact"/>
        <w:rPr>
          <w:rFonts w:hint="eastAsia" w:ascii="仿宋_GB2312" w:hAnsi="黑体" w:eastAsia="仿宋_GB2312"/>
          <w:sz w:val="32"/>
          <w:szCs w:val="32"/>
        </w:rPr>
      </w:pPr>
      <w:r>
        <w:rPr>
          <w:rFonts w:hint="eastAsia" w:ascii="仿宋_GB2312" w:hAnsi="黑体" w:eastAsia="仿宋_GB2312"/>
          <w:sz w:val="32"/>
          <w:szCs w:val="32"/>
        </w:rPr>
        <w:t>主要职责</w:t>
      </w:r>
    </w:p>
    <w:p>
      <w:pPr>
        <w:numPr>
          <w:ilvl w:val="0"/>
          <w:numId w:val="1"/>
        </w:numPr>
        <w:spacing w:line="540" w:lineRule="exact"/>
        <w:rPr>
          <w:rFonts w:hint="eastAsia" w:ascii="仿宋_GB2312" w:hAnsi="黑体" w:eastAsia="仿宋_GB2312"/>
          <w:sz w:val="32"/>
          <w:szCs w:val="32"/>
        </w:rPr>
      </w:pPr>
      <w:r>
        <w:rPr>
          <w:rFonts w:hint="eastAsia" w:ascii="仿宋_GB2312" w:hAnsi="黑体" w:eastAsia="仿宋_GB2312"/>
          <w:sz w:val="32"/>
          <w:szCs w:val="32"/>
        </w:rPr>
        <w:t>机构设置</w:t>
      </w:r>
    </w:p>
    <w:p>
      <w:pPr>
        <w:spacing w:line="540" w:lineRule="exact"/>
        <w:rPr>
          <w:rFonts w:hint="eastAsia" w:ascii="黑体" w:hAnsi="黑体" w:eastAsia="黑体"/>
          <w:sz w:val="32"/>
          <w:szCs w:val="32"/>
        </w:rPr>
      </w:pPr>
      <w:r>
        <w:rPr>
          <w:rFonts w:hint="eastAsia" w:ascii="黑体" w:hAnsi="黑体" w:eastAsia="黑体"/>
          <w:sz w:val="32"/>
          <w:szCs w:val="32"/>
        </w:rPr>
        <w:t>第二部分</w:t>
      </w:r>
    </w:p>
    <w:p>
      <w:pPr>
        <w:spacing w:line="540" w:lineRule="exact"/>
        <w:rPr>
          <w:rFonts w:hint="eastAsia" w:ascii="黑体" w:hAnsi="黑体" w:eastAsia="黑体"/>
          <w:sz w:val="32"/>
          <w:szCs w:val="32"/>
        </w:rPr>
      </w:pPr>
      <w:r>
        <w:rPr>
          <w:rFonts w:hint="eastAsia" w:ascii="黑体" w:hAnsi="黑体" w:eastAsia="黑体"/>
          <w:sz w:val="32"/>
          <w:szCs w:val="32"/>
        </w:rPr>
        <w:t xml:space="preserve"> 康平县东升满族蒙古族九年一贯制学校2020年度部门决算报表</w:t>
      </w:r>
    </w:p>
    <w:p>
      <w:pPr>
        <w:spacing w:line="540" w:lineRule="exact"/>
        <w:rPr>
          <w:rFonts w:hint="eastAsia"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2020年度收入支出决算总表</w:t>
      </w:r>
    </w:p>
    <w:p>
      <w:pPr>
        <w:spacing w:line="540" w:lineRule="exact"/>
        <w:rPr>
          <w:rFonts w:hint="eastAsia" w:ascii="仿宋_GB2312" w:eastAsia="仿宋_GB2312"/>
          <w:sz w:val="32"/>
          <w:szCs w:val="32"/>
        </w:rPr>
      </w:pPr>
      <w:r>
        <w:rPr>
          <w:rFonts w:hint="eastAsia" w:ascii="仿宋_GB2312" w:eastAsia="仿宋_GB2312"/>
          <w:sz w:val="32"/>
          <w:szCs w:val="32"/>
        </w:rPr>
        <w:t>二、2020</w:t>
      </w:r>
      <w:r>
        <w:rPr>
          <w:rFonts w:hint="eastAsia" w:ascii="仿宋_GB2312" w:hAnsi="仿宋" w:eastAsia="仿宋_GB2312"/>
          <w:sz w:val="32"/>
          <w:szCs w:val="32"/>
        </w:rPr>
        <w:t>年度</w:t>
      </w:r>
      <w:r>
        <w:rPr>
          <w:rFonts w:hint="eastAsia" w:ascii="仿宋_GB2312" w:eastAsia="仿宋_GB2312"/>
          <w:sz w:val="32"/>
          <w:szCs w:val="32"/>
        </w:rPr>
        <w:t>收入决算表</w:t>
      </w:r>
    </w:p>
    <w:p>
      <w:pPr>
        <w:spacing w:line="540" w:lineRule="exact"/>
        <w:rPr>
          <w:rFonts w:hint="eastAsia" w:ascii="仿宋_GB2312" w:eastAsia="仿宋_GB2312"/>
          <w:sz w:val="32"/>
          <w:szCs w:val="32"/>
        </w:rPr>
      </w:pPr>
      <w:r>
        <w:rPr>
          <w:rFonts w:hint="eastAsia" w:ascii="仿宋_GB2312" w:eastAsia="仿宋_GB2312"/>
          <w:sz w:val="32"/>
          <w:szCs w:val="32"/>
        </w:rPr>
        <w:t>三、2020</w:t>
      </w:r>
      <w:r>
        <w:rPr>
          <w:rFonts w:hint="eastAsia" w:ascii="仿宋_GB2312" w:hAnsi="仿宋" w:eastAsia="仿宋_GB2312"/>
          <w:sz w:val="32"/>
          <w:szCs w:val="32"/>
        </w:rPr>
        <w:t>年度</w:t>
      </w:r>
      <w:r>
        <w:rPr>
          <w:rFonts w:hint="eastAsia" w:ascii="仿宋_GB2312" w:eastAsia="仿宋_GB2312"/>
          <w:sz w:val="32"/>
          <w:szCs w:val="32"/>
        </w:rPr>
        <w:t>支出决算表</w:t>
      </w:r>
    </w:p>
    <w:p>
      <w:pPr>
        <w:spacing w:line="540" w:lineRule="exact"/>
        <w:rPr>
          <w:rFonts w:hint="eastAsia"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2020年度财政拨款收入支出决算表</w:t>
      </w:r>
    </w:p>
    <w:p>
      <w:pPr>
        <w:spacing w:line="540" w:lineRule="exact"/>
        <w:rPr>
          <w:rFonts w:hint="eastAsia" w:ascii="仿宋_GB2312" w:eastAsia="仿宋_GB2312"/>
          <w:sz w:val="32"/>
          <w:szCs w:val="32"/>
        </w:rPr>
      </w:pPr>
      <w:r>
        <w:rPr>
          <w:rFonts w:hint="eastAsia" w:ascii="仿宋_GB2312" w:eastAsia="仿宋_GB2312"/>
          <w:sz w:val="32"/>
          <w:szCs w:val="32"/>
        </w:rPr>
        <w:t>五、</w:t>
      </w:r>
      <w:r>
        <w:rPr>
          <w:rFonts w:ascii="仿宋_GB2312" w:eastAsia="仿宋_GB2312"/>
          <w:sz w:val="32"/>
          <w:szCs w:val="32"/>
        </w:rPr>
        <w:t>20</w:t>
      </w:r>
      <w:r>
        <w:rPr>
          <w:rFonts w:hint="eastAsia" w:ascii="仿宋_GB2312" w:eastAsia="仿宋_GB2312"/>
          <w:sz w:val="32"/>
          <w:szCs w:val="32"/>
        </w:rPr>
        <w:t>20</w:t>
      </w:r>
      <w:r>
        <w:rPr>
          <w:rFonts w:ascii="仿宋_GB2312" w:eastAsia="仿宋_GB2312"/>
          <w:sz w:val="32"/>
          <w:szCs w:val="32"/>
        </w:rPr>
        <w:t>年度</w:t>
      </w:r>
      <w:r>
        <w:rPr>
          <w:rFonts w:hint="eastAsia" w:ascii="仿宋_GB2312" w:eastAsia="仿宋_GB2312"/>
          <w:sz w:val="32"/>
          <w:szCs w:val="32"/>
        </w:rPr>
        <w:t>一般公共预算</w:t>
      </w:r>
      <w:r>
        <w:rPr>
          <w:rFonts w:ascii="仿宋_GB2312" w:eastAsia="仿宋_GB2312"/>
          <w:sz w:val="32"/>
          <w:szCs w:val="32"/>
        </w:rPr>
        <w:t>财政拨款收入支出决算表</w:t>
      </w:r>
    </w:p>
    <w:p>
      <w:pPr>
        <w:spacing w:line="540" w:lineRule="exact"/>
        <w:rPr>
          <w:rFonts w:hint="eastAsia" w:ascii="仿宋_GB2312" w:eastAsia="仿宋_GB2312"/>
          <w:sz w:val="32"/>
          <w:szCs w:val="32"/>
        </w:rPr>
      </w:pPr>
      <w:r>
        <w:rPr>
          <w:rFonts w:hint="eastAsia" w:ascii="仿宋_GB2312" w:eastAsia="仿宋_GB2312"/>
          <w:sz w:val="32"/>
          <w:szCs w:val="32"/>
        </w:rPr>
        <w:t>六、</w:t>
      </w:r>
      <w:r>
        <w:rPr>
          <w:rFonts w:ascii="仿宋_GB2312" w:eastAsia="仿宋_GB2312"/>
          <w:sz w:val="32"/>
          <w:szCs w:val="32"/>
        </w:rPr>
        <w:t>20</w:t>
      </w:r>
      <w:r>
        <w:rPr>
          <w:rFonts w:hint="eastAsia" w:ascii="仿宋_GB2312" w:eastAsia="仿宋_GB2312"/>
          <w:sz w:val="32"/>
          <w:szCs w:val="32"/>
        </w:rPr>
        <w:t>20</w:t>
      </w:r>
      <w:r>
        <w:rPr>
          <w:rFonts w:ascii="仿宋_GB2312" w:eastAsia="仿宋_GB2312"/>
          <w:sz w:val="32"/>
          <w:szCs w:val="32"/>
        </w:rPr>
        <w:t>年度</w:t>
      </w:r>
      <w:r>
        <w:rPr>
          <w:rFonts w:hint="eastAsia" w:ascii="仿宋_GB2312" w:eastAsia="仿宋_GB2312"/>
          <w:sz w:val="32"/>
          <w:szCs w:val="32"/>
        </w:rPr>
        <w:t>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pPr>
        <w:spacing w:line="540" w:lineRule="exact"/>
        <w:rPr>
          <w:rFonts w:hint="eastAsia"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20</w:t>
      </w:r>
      <w:r>
        <w:rPr>
          <w:rFonts w:hint="eastAsia" w:ascii="仿宋_GB2312" w:eastAsia="仿宋_GB2312"/>
          <w:sz w:val="32"/>
          <w:szCs w:val="32"/>
        </w:rPr>
        <w:t>20</w:t>
      </w:r>
      <w:r>
        <w:rPr>
          <w:rFonts w:ascii="仿宋_GB2312" w:eastAsia="仿宋_GB2312"/>
          <w:sz w:val="32"/>
          <w:szCs w:val="32"/>
        </w:rPr>
        <w:t>年度政府性基金预算财政拨款收入支出决算表</w:t>
      </w:r>
    </w:p>
    <w:p>
      <w:pPr>
        <w:spacing w:line="540" w:lineRule="exact"/>
        <w:ind w:left="640" w:hanging="640" w:hangingChars="200"/>
        <w:rPr>
          <w:rFonts w:hint="eastAsia" w:ascii="仿宋_GB2312" w:eastAsia="仿宋_GB2312"/>
          <w:sz w:val="32"/>
          <w:szCs w:val="32"/>
        </w:rPr>
      </w:pPr>
      <w:r>
        <w:rPr>
          <w:rFonts w:hint="eastAsia" w:ascii="仿宋_GB2312" w:eastAsia="仿宋_GB2312"/>
          <w:sz w:val="32"/>
          <w:szCs w:val="32"/>
        </w:rPr>
        <w:t>八、</w:t>
      </w:r>
      <w:r>
        <w:rPr>
          <w:rFonts w:ascii="仿宋_GB2312" w:eastAsia="仿宋_GB2312"/>
          <w:sz w:val="32"/>
          <w:szCs w:val="32"/>
        </w:rPr>
        <w:t>20</w:t>
      </w:r>
      <w:r>
        <w:rPr>
          <w:rFonts w:hint="eastAsia" w:ascii="仿宋_GB2312" w:eastAsia="仿宋_GB2312"/>
          <w:sz w:val="32"/>
          <w:szCs w:val="32"/>
        </w:rPr>
        <w:t>20</w:t>
      </w:r>
      <w:r>
        <w:rPr>
          <w:rFonts w:hint="eastAsia" w:ascii="仿宋_GB2312" w:hAnsi="仿宋" w:eastAsia="仿宋_GB2312"/>
          <w:sz w:val="32"/>
          <w:szCs w:val="32"/>
        </w:rPr>
        <w:t>年度</w:t>
      </w:r>
      <w:r>
        <w:rPr>
          <w:rFonts w:hint="eastAsia" w:ascii="仿宋_GB2312" w:eastAsia="仿宋_GB2312"/>
          <w:sz w:val="32"/>
          <w:szCs w:val="32"/>
        </w:rPr>
        <w:t>一般公共预算财政拨款“三公”经费支出决算表</w:t>
      </w:r>
    </w:p>
    <w:p>
      <w:pPr>
        <w:spacing w:line="540" w:lineRule="exact"/>
        <w:rPr>
          <w:rFonts w:hint="eastAsia" w:ascii="黑体" w:hAnsi="黑体" w:eastAsia="黑体"/>
          <w:sz w:val="32"/>
          <w:szCs w:val="32"/>
        </w:rPr>
      </w:pPr>
      <w:r>
        <w:rPr>
          <w:rFonts w:hint="eastAsia" w:ascii="黑体" w:hAnsi="黑体" w:eastAsia="黑体"/>
          <w:sz w:val="32"/>
          <w:szCs w:val="32"/>
        </w:rPr>
        <w:t xml:space="preserve">第三部分 </w:t>
      </w:r>
    </w:p>
    <w:p>
      <w:pPr>
        <w:spacing w:line="540" w:lineRule="exact"/>
        <w:rPr>
          <w:rFonts w:hint="eastAsia" w:ascii="黑体" w:hAnsi="黑体" w:eastAsia="黑体"/>
          <w:sz w:val="32"/>
          <w:szCs w:val="32"/>
        </w:rPr>
      </w:pPr>
      <w:r>
        <w:rPr>
          <w:rFonts w:hint="eastAsia" w:ascii="黑体" w:hAnsi="黑体" w:eastAsia="黑体"/>
          <w:sz w:val="32"/>
          <w:szCs w:val="32"/>
        </w:rPr>
        <w:t>康平县东升满族蒙古族九年一贯制学校单位2020年度部门决算情况说明</w:t>
      </w:r>
    </w:p>
    <w:p>
      <w:pPr>
        <w:spacing w:line="540" w:lineRule="exact"/>
        <w:rPr>
          <w:rFonts w:hint="eastAsia" w:ascii="黑体" w:hAnsi="黑体" w:eastAsia="黑体"/>
          <w:sz w:val="32"/>
          <w:szCs w:val="32"/>
        </w:rPr>
      </w:pPr>
      <w:r>
        <w:rPr>
          <w:rFonts w:hint="eastAsia" w:ascii="黑体" w:hAnsi="黑体" w:eastAsia="黑体"/>
          <w:sz w:val="32"/>
          <w:szCs w:val="32"/>
        </w:rPr>
        <w:t>第四部分    名词解释</w:t>
      </w:r>
    </w:p>
    <w:p>
      <w:pPr>
        <w:spacing w:line="540" w:lineRule="exact"/>
        <w:rPr>
          <w:rFonts w:ascii="宋体" w:hAnsi="宋体"/>
          <w:b/>
          <w:sz w:val="36"/>
          <w:szCs w:val="36"/>
        </w:rPr>
      </w:pPr>
    </w:p>
    <w:p>
      <w:pPr>
        <w:spacing w:line="540" w:lineRule="exact"/>
        <w:jc w:val="center"/>
        <w:rPr>
          <w:rFonts w:hint="eastAsia" w:ascii="宋体" w:hAnsi="宋体"/>
          <w:b/>
          <w:sz w:val="36"/>
          <w:szCs w:val="36"/>
        </w:rPr>
      </w:pPr>
      <w:r>
        <w:rPr>
          <w:rFonts w:hint="eastAsia" w:ascii="宋体" w:hAnsi="宋体"/>
          <w:b/>
          <w:sz w:val="36"/>
          <w:szCs w:val="36"/>
        </w:rPr>
        <w:t xml:space="preserve">   第一部分 </w:t>
      </w:r>
      <w:r>
        <w:rPr>
          <w:rFonts w:hint="eastAsia" w:ascii="宋体" w:hAnsi="宋体" w:cs="宋体"/>
          <w:b/>
          <w:bCs/>
          <w:sz w:val="36"/>
          <w:szCs w:val="36"/>
        </w:rPr>
        <w:t>康平县东升满族蒙古族九年一贯制学校单位</w:t>
      </w:r>
      <w:r>
        <w:rPr>
          <w:rFonts w:hint="eastAsia" w:ascii="宋体" w:hAnsi="宋体"/>
          <w:b/>
          <w:sz w:val="36"/>
          <w:szCs w:val="36"/>
        </w:rPr>
        <w:t>概况</w:t>
      </w:r>
    </w:p>
    <w:p>
      <w:pPr>
        <w:spacing w:line="540" w:lineRule="exact"/>
        <w:ind w:firstLine="640" w:firstLineChars="200"/>
        <w:jc w:val="left"/>
        <w:rPr>
          <w:rFonts w:hint="eastAsia" w:ascii="黑体" w:eastAsia="黑体"/>
          <w:sz w:val="32"/>
          <w:szCs w:val="32"/>
        </w:rPr>
      </w:pPr>
    </w:p>
    <w:p>
      <w:pPr>
        <w:spacing w:line="540" w:lineRule="exact"/>
        <w:ind w:firstLine="640" w:firstLineChars="200"/>
        <w:jc w:val="left"/>
        <w:rPr>
          <w:rFonts w:hint="eastAsia" w:ascii="黑体" w:eastAsia="黑体"/>
          <w:sz w:val="32"/>
          <w:szCs w:val="32"/>
        </w:rPr>
      </w:pPr>
      <w:r>
        <w:rPr>
          <w:rFonts w:hint="eastAsia" w:ascii="黑体" w:eastAsia="黑体"/>
          <w:sz w:val="32"/>
          <w:szCs w:val="32"/>
        </w:rPr>
        <w:t>一、主要职责</w:t>
      </w:r>
    </w:p>
    <w:p>
      <w:pPr>
        <w:spacing w:line="540" w:lineRule="exact"/>
        <w:ind w:firstLine="640" w:firstLineChars="200"/>
        <w:rPr>
          <w:rFonts w:ascii="楷体" w:hAnsi="楷体" w:eastAsia="楷体" w:cs="仿宋_GB2312"/>
          <w:b/>
          <w:sz w:val="32"/>
          <w:szCs w:val="32"/>
        </w:rPr>
      </w:pPr>
      <w:r>
        <w:rPr>
          <w:rFonts w:hint="eastAsia" w:ascii="仿宋_GB2312" w:hAnsi="仿宋_GB2312" w:eastAsia="仿宋_GB2312" w:cs="仿宋_GB2312"/>
          <w:sz w:val="32"/>
          <w:szCs w:val="32"/>
        </w:rPr>
        <w:t>单位主要职能：</w:t>
      </w:r>
      <w:r>
        <w:rPr>
          <w:rFonts w:hint="eastAsia" w:ascii="仿宋_GB2312" w:eastAsia="仿宋_GB2312"/>
          <w:sz w:val="32"/>
          <w:szCs w:val="32"/>
        </w:rPr>
        <w:t>中小学学历教育及附带学前教育；</w:t>
      </w:r>
      <w:r>
        <w:rPr>
          <w:rFonts w:hint="eastAsia" w:ascii="仿宋_GB2312" w:hAnsi="Arial" w:eastAsia="仿宋_GB2312" w:cs="Arial"/>
          <w:color w:val="333333"/>
          <w:sz w:val="32"/>
          <w:szCs w:val="32"/>
          <w:shd w:val="clear" w:color="auto" w:fill="FFFFFF"/>
        </w:rPr>
        <w:t>学校以创办优质教育、传承优秀中华文化为目标，确立了文化立校的发展战略，构建了“以人为本，以德为先”的现代人本管理体系。</w:t>
      </w:r>
      <w:r>
        <w:rPr>
          <w:rFonts w:hint="eastAsia" w:ascii="仿宋_GB2312" w:hAnsi="宋体" w:eastAsia="仿宋_GB2312"/>
          <w:color w:val="000000"/>
          <w:sz w:val="32"/>
          <w:szCs w:val="32"/>
        </w:rPr>
        <w:t>严格执行事业单位会计制度，认真履行其工作职责。</w:t>
      </w:r>
    </w:p>
    <w:p>
      <w:pPr>
        <w:spacing w:line="540" w:lineRule="exact"/>
        <w:ind w:firstLine="640" w:firstLineChars="200"/>
        <w:jc w:val="left"/>
        <w:rPr>
          <w:rFonts w:ascii="黑体" w:eastAsia="黑体"/>
          <w:sz w:val="32"/>
          <w:szCs w:val="32"/>
        </w:rPr>
      </w:pPr>
      <w:r>
        <w:rPr>
          <w:rFonts w:hint="eastAsia" w:ascii="黑体" w:eastAsia="黑体"/>
          <w:sz w:val="32"/>
          <w:szCs w:val="32"/>
        </w:rPr>
        <w:t>二、机构设置</w:t>
      </w:r>
    </w:p>
    <w:p>
      <w:pPr>
        <w:rPr>
          <w:rFonts w:hint="eastAsia"/>
          <w:sz w:val="28"/>
          <w:szCs w:val="28"/>
        </w:rPr>
      </w:pPr>
      <w:r>
        <w:rPr>
          <w:rFonts w:hint="eastAsia" w:ascii="仿宋" w:hAnsi="仿宋" w:eastAsia="仿宋" w:cs="仿宋"/>
          <w:sz w:val="32"/>
          <w:szCs w:val="32"/>
        </w:rPr>
        <w:t>单位机构设置：机构设置数为1个，分总务处和教导处，总务处负责单位资产管理和日常校产管理；教导处下辖数语文组、数学组、英语组、理化组、政史生地组、体音美组六个教研组，负责日常教学工作。</w:t>
      </w: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723" w:firstLineChars="200"/>
        <w:rPr>
          <w:rFonts w:hint="eastAsia" w:ascii="宋体" w:hAnsi="宋体"/>
          <w:b/>
          <w:sz w:val="36"/>
          <w:szCs w:val="36"/>
        </w:rPr>
      </w:pPr>
      <w:r>
        <w:rPr>
          <w:rFonts w:hint="eastAsia" w:ascii="宋体" w:hAnsi="宋体"/>
          <w:b/>
          <w:sz w:val="36"/>
          <w:szCs w:val="36"/>
        </w:rPr>
        <w:t xml:space="preserve">第三部分  </w:t>
      </w:r>
      <w:r>
        <w:rPr>
          <w:rFonts w:hint="eastAsia" w:ascii="宋体" w:hAnsi="宋体" w:cs="宋体"/>
          <w:b/>
          <w:bCs/>
          <w:sz w:val="36"/>
          <w:szCs w:val="36"/>
        </w:rPr>
        <w:t>康平县东升满族蒙古族九年一贯制学校</w:t>
      </w:r>
      <w:r>
        <w:rPr>
          <w:rFonts w:hint="eastAsia" w:ascii="宋体" w:hAnsi="宋体"/>
          <w:b/>
          <w:sz w:val="36"/>
          <w:szCs w:val="36"/>
        </w:rPr>
        <w:t>2020年度部门决算情况说明</w:t>
      </w:r>
    </w:p>
    <w:p>
      <w:pPr>
        <w:spacing w:line="540" w:lineRule="exact"/>
        <w:rPr>
          <w:rFonts w:hint="eastAsia" w:ascii="宋体" w:hAnsi="宋体"/>
          <w:b/>
          <w:sz w:val="36"/>
          <w:szCs w:val="36"/>
        </w:rPr>
      </w:pPr>
    </w:p>
    <w:p>
      <w:pPr>
        <w:spacing w:line="540" w:lineRule="exact"/>
        <w:ind w:firstLine="627" w:firstLineChars="196"/>
        <w:rPr>
          <w:rFonts w:hint="eastAsia" w:ascii="黑体" w:hAnsi="黑体" w:eastAsia="黑体"/>
          <w:sz w:val="32"/>
          <w:szCs w:val="32"/>
        </w:rPr>
      </w:pPr>
      <w:r>
        <w:rPr>
          <w:rFonts w:hint="eastAsia" w:ascii="黑体" w:hAnsi="黑体" w:eastAsia="黑体"/>
          <w:sz w:val="32"/>
          <w:szCs w:val="32"/>
        </w:rPr>
        <w:t>一、收入支出决算总体情况</w:t>
      </w:r>
    </w:p>
    <w:p>
      <w:pPr>
        <w:spacing w:line="540" w:lineRule="exact"/>
        <w:ind w:firstLine="660"/>
        <w:rPr>
          <w:rFonts w:hint="eastAsia" w:ascii="楷体_GB2312" w:hAnsi="宋体" w:eastAsia="楷体_GB2312"/>
          <w:b/>
          <w:sz w:val="32"/>
          <w:szCs w:val="32"/>
        </w:rPr>
      </w:pPr>
      <w:r>
        <w:rPr>
          <w:rFonts w:hint="eastAsia" w:ascii="楷体_GB2312" w:hAnsi="宋体" w:eastAsia="楷体_GB2312"/>
          <w:b/>
          <w:sz w:val="32"/>
          <w:szCs w:val="32"/>
        </w:rPr>
        <w:t>（一）收入总计1832.14万元，包括：</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1.财政拨款收入1813.55万元，占</w:t>
      </w:r>
      <w:r>
        <w:rPr>
          <w:rFonts w:ascii="仿宋_GB2312" w:hAnsi="宋体" w:eastAsia="仿宋_GB2312"/>
          <w:sz w:val="32"/>
          <w:szCs w:val="32"/>
        </w:rPr>
        <w:t>收入总计的</w:t>
      </w:r>
      <w:r>
        <w:rPr>
          <w:rFonts w:hint="eastAsia" w:ascii="仿宋_GB2312" w:hAnsi="宋体" w:eastAsia="仿宋_GB2312"/>
          <w:sz w:val="32"/>
          <w:szCs w:val="32"/>
        </w:rPr>
        <w:t>98.99</w:t>
      </w:r>
      <w:r>
        <w:rPr>
          <w:rFonts w:ascii="仿宋_GB2312" w:hAnsi="宋体" w:eastAsia="仿宋_GB2312"/>
          <w:sz w:val="32"/>
          <w:szCs w:val="32"/>
        </w:rPr>
        <w:t>%</w:t>
      </w:r>
      <w:r>
        <w:rPr>
          <w:rFonts w:hint="eastAsia" w:ascii="仿宋_GB2312" w:hAnsi="宋体" w:eastAsia="仿宋_GB2312"/>
          <w:sz w:val="32"/>
          <w:szCs w:val="32"/>
        </w:rPr>
        <w:t>。其中：公共预算财政拨款收入1813.55万元，。</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2.事业收入18.59万元，占收入总计的1.01%。主要是幼儿园保教费等收入。</w:t>
      </w:r>
    </w:p>
    <w:p>
      <w:pPr>
        <w:spacing w:line="540" w:lineRule="exact"/>
        <w:ind w:firstLine="660"/>
        <w:rPr>
          <w:rFonts w:hint="eastAsia" w:ascii="仿宋" w:hAnsi="仿宋" w:eastAsia="仿宋" w:cs="仿宋"/>
          <w:sz w:val="32"/>
          <w:szCs w:val="32"/>
        </w:rPr>
      </w:pPr>
      <w:r>
        <w:rPr>
          <w:rFonts w:hint="eastAsia" w:ascii="仿宋_GB2312" w:hAnsi="宋体" w:eastAsia="仿宋_GB2312"/>
          <w:sz w:val="32"/>
          <w:szCs w:val="32"/>
        </w:rPr>
        <w:t>与上年相比，今年收入增加269.77万元，增加17.27%，主要原因：</w:t>
      </w:r>
      <w:r>
        <w:rPr>
          <w:rFonts w:hint="eastAsia" w:ascii="黑体" w:hAnsi="黑体" w:eastAsia="黑体"/>
          <w:sz w:val="32"/>
          <w:szCs w:val="32"/>
        </w:rPr>
        <w:t>一是：</w:t>
      </w:r>
      <w:r>
        <w:rPr>
          <w:rFonts w:hint="eastAsia" w:ascii="仿宋_GB2312" w:hAnsi="宋体" w:eastAsia="仿宋_GB2312"/>
          <w:sz w:val="32"/>
          <w:szCs w:val="32"/>
        </w:rPr>
        <w:t>人员经费增加；</w:t>
      </w:r>
      <w:r>
        <w:rPr>
          <w:rFonts w:hint="eastAsia" w:ascii="黑体" w:hAnsi="黑体" w:eastAsia="黑体"/>
          <w:sz w:val="32"/>
          <w:szCs w:val="32"/>
        </w:rPr>
        <w:t>二是：</w:t>
      </w:r>
      <w:r>
        <w:rPr>
          <w:rFonts w:hint="eastAsia" w:ascii="仿宋" w:hAnsi="仿宋" w:eastAsia="仿宋" w:cs="仿宋"/>
          <w:sz w:val="32"/>
          <w:szCs w:val="32"/>
        </w:rPr>
        <w:t>事业（幼儿园保缴费）收入增加。</w:t>
      </w:r>
    </w:p>
    <w:p>
      <w:pPr>
        <w:spacing w:line="540" w:lineRule="exact"/>
        <w:ind w:firstLine="660"/>
        <w:rPr>
          <w:rFonts w:hint="eastAsia" w:ascii="楷体_GB2312" w:hAnsi="宋体" w:eastAsia="楷体_GB2312"/>
          <w:b/>
          <w:sz w:val="32"/>
          <w:szCs w:val="32"/>
        </w:rPr>
      </w:pPr>
      <w:r>
        <w:rPr>
          <w:rFonts w:hint="eastAsia" w:ascii="楷体_GB2312" w:hAnsi="宋体" w:eastAsia="楷体_GB2312"/>
          <w:b/>
          <w:sz w:val="32"/>
          <w:szCs w:val="32"/>
        </w:rPr>
        <w:t>（二）支出总计1832.14万元，包括：</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1.基本支出1832.14万元，占支出总计的100%。主要是为保障机构正常运转、完成日常工作任务而发生的各项支出。</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与上年相比，今年支出增加269.77万元，增加17.27%，主要原因：</w:t>
      </w:r>
      <w:r>
        <w:rPr>
          <w:rFonts w:hint="eastAsia" w:ascii="黑体" w:hAnsi="黑体" w:eastAsia="黑体"/>
          <w:sz w:val="32"/>
          <w:szCs w:val="32"/>
        </w:rPr>
        <w:t>一是：</w:t>
      </w:r>
      <w:r>
        <w:rPr>
          <w:rFonts w:hint="eastAsia" w:ascii="仿宋_GB2312" w:hAnsi="宋体" w:eastAsia="仿宋_GB2312"/>
          <w:sz w:val="32"/>
          <w:szCs w:val="32"/>
        </w:rPr>
        <w:t>人员经费支出增加；</w:t>
      </w:r>
      <w:r>
        <w:rPr>
          <w:rFonts w:hint="eastAsia" w:ascii="黑体" w:hAnsi="黑体" w:eastAsia="黑体"/>
          <w:sz w:val="32"/>
          <w:szCs w:val="32"/>
        </w:rPr>
        <w:t>二是：</w:t>
      </w:r>
      <w:r>
        <w:rPr>
          <w:rFonts w:hint="eastAsia" w:ascii="仿宋_GB2312" w:hAnsi="宋体" w:eastAsia="仿宋_GB2312"/>
          <w:sz w:val="32"/>
          <w:szCs w:val="32"/>
        </w:rPr>
        <w:t>经费支出增加。</w:t>
      </w:r>
    </w:p>
    <w:p>
      <w:pPr>
        <w:spacing w:line="540" w:lineRule="exact"/>
        <w:ind w:firstLine="660"/>
        <w:rPr>
          <w:rFonts w:hint="eastAsia" w:ascii="仿宋_GB2312" w:hAnsi="宋体" w:eastAsia="仿宋_GB2312"/>
          <w:sz w:val="32"/>
          <w:szCs w:val="32"/>
          <w:lang w:eastAsia="zh-CN"/>
        </w:rPr>
      </w:pPr>
      <w:r>
        <w:rPr>
          <w:rFonts w:hint="eastAsia" w:ascii="仿宋_GB2312" w:hAnsi="宋体" w:eastAsia="仿宋_GB2312"/>
          <w:sz w:val="32"/>
          <w:szCs w:val="32"/>
          <w:lang w:eastAsia="zh-CN"/>
        </w:rPr>
        <w:t>（三）</w:t>
      </w:r>
      <w:r>
        <w:rPr>
          <w:rFonts w:hint="eastAsia" w:ascii="楷体_GB2312" w:hAnsi="宋体" w:eastAsia="楷体_GB2312"/>
          <w:b/>
          <w:sz w:val="32"/>
          <w:szCs w:val="32"/>
        </w:rPr>
        <w:t>年末结转和结余0万元。</w:t>
      </w:r>
    </w:p>
    <w:p>
      <w:pPr>
        <w:spacing w:line="540" w:lineRule="exact"/>
        <w:ind w:firstLine="660"/>
        <w:rPr>
          <w:rFonts w:hint="eastAsia" w:ascii="黑体" w:hAnsi="黑体" w:eastAsia="黑体"/>
          <w:sz w:val="32"/>
          <w:szCs w:val="32"/>
        </w:rPr>
      </w:pPr>
      <w:r>
        <w:rPr>
          <w:rFonts w:hint="eastAsia" w:ascii="黑体" w:hAnsi="黑体" w:eastAsia="黑体"/>
          <w:sz w:val="32"/>
          <w:szCs w:val="32"/>
        </w:rPr>
        <w:t>二、财政拨款支出决算情况</w:t>
      </w:r>
    </w:p>
    <w:p>
      <w:pPr>
        <w:spacing w:line="540" w:lineRule="exact"/>
        <w:ind w:firstLine="660"/>
        <w:rPr>
          <w:rFonts w:hint="eastAsia" w:ascii="仿宋_GB2312" w:hAnsi="宋体" w:eastAsia="仿宋_GB2312"/>
          <w:b/>
          <w:bCs/>
          <w:sz w:val="32"/>
          <w:szCs w:val="32"/>
        </w:rPr>
      </w:pPr>
      <w:r>
        <w:rPr>
          <w:rFonts w:hint="eastAsia" w:ascii="仿宋_GB2312" w:hAnsi="宋体" w:eastAsia="仿宋_GB2312"/>
          <w:sz w:val="32"/>
          <w:szCs w:val="32"/>
          <w:lang w:eastAsia="zh-CN"/>
        </w:rPr>
        <w:t>（一）</w:t>
      </w:r>
      <w:r>
        <w:rPr>
          <w:rFonts w:hint="eastAsia" w:ascii="仿宋_GB2312" w:hAnsi="宋体" w:eastAsia="仿宋_GB2312"/>
          <w:b/>
          <w:bCs/>
          <w:sz w:val="32"/>
          <w:szCs w:val="32"/>
        </w:rPr>
        <w:t>收入总体情况</w:t>
      </w:r>
    </w:p>
    <w:p>
      <w:pPr>
        <w:spacing w:line="540" w:lineRule="exact"/>
        <w:ind w:firstLine="960" w:firstLineChars="300"/>
        <w:rPr>
          <w:rFonts w:hint="eastAsia" w:ascii="仿宋_GB2312" w:hAnsi="宋体" w:eastAsia="仿宋_GB2312"/>
          <w:sz w:val="32"/>
          <w:szCs w:val="32"/>
          <w:lang w:eastAsia="zh-CN"/>
        </w:rPr>
      </w:pPr>
      <w:r>
        <w:rPr>
          <w:rFonts w:hint="eastAsia" w:ascii="仿宋_GB2312" w:hAnsi="宋体" w:eastAsia="仿宋_GB2312"/>
          <w:sz w:val="32"/>
          <w:szCs w:val="32"/>
        </w:rPr>
        <w:t>2020年度财政拨款支出1813.55万元，其中：基本支出1813.55万元。与</w:t>
      </w:r>
      <w:r>
        <w:rPr>
          <w:rFonts w:ascii="仿宋_GB2312" w:hAnsi="宋体" w:eastAsia="仿宋_GB2312"/>
          <w:sz w:val="32"/>
          <w:szCs w:val="32"/>
        </w:rPr>
        <w:t>上年相比，</w:t>
      </w:r>
      <w:r>
        <w:rPr>
          <w:rFonts w:hint="eastAsia" w:ascii="仿宋_GB2312" w:hAnsi="宋体" w:eastAsia="仿宋_GB2312"/>
          <w:sz w:val="32"/>
          <w:szCs w:val="32"/>
        </w:rPr>
        <w:t>财政拨款支出增加266.97万元，增加17.26%，主要原因：</w:t>
      </w:r>
      <w:r>
        <w:rPr>
          <w:rFonts w:hint="eastAsia" w:ascii="黑体" w:hAnsi="黑体" w:eastAsia="黑体"/>
          <w:sz w:val="32"/>
          <w:szCs w:val="32"/>
        </w:rPr>
        <w:t>一是</w:t>
      </w:r>
      <w:r>
        <w:rPr>
          <w:rFonts w:hint="eastAsia" w:ascii="仿宋_GB2312" w:hAnsi="宋体" w:eastAsia="仿宋_GB2312"/>
          <w:sz w:val="32"/>
          <w:szCs w:val="32"/>
        </w:rPr>
        <w:t>人员经费支出增加；</w:t>
      </w:r>
      <w:r>
        <w:rPr>
          <w:rFonts w:hint="eastAsia" w:ascii="黑体" w:hAnsi="黑体" w:eastAsia="黑体"/>
          <w:sz w:val="32"/>
          <w:szCs w:val="32"/>
        </w:rPr>
        <w:t>二是</w:t>
      </w:r>
      <w:r>
        <w:rPr>
          <w:rFonts w:hint="eastAsia" w:ascii="仿宋_GB2312" w:hAnsi="宋体" w:eastAsia="仿宋_GB2312"/>
          <w:sz w:val="32"/>
          <w:szCs w:val="32"/>
        </w:rPr>
        <w:t>经费支出增加。与年初预算相比，2020财政拨款支出完成年初预算的100%</w:t>
      </w:r>
      <w:r>
        <w:rPr>
          <w:rFonts w:hint="eastAsia" w:ascii="仿宋_GB2312" w:hAnsi="宋体" w:eastAsia="仿宋_GB2312"/>
          <w:sz w:val="32"/>
          <w:szCs w:val="32"/>
          <w:lang w:eastAsia="zh-CN"/>
        </w:rPr>
        <w:t>。</w:t>
      </w:r>
    </w:p>
    <w:p>
      <w:pPr>
        <w:numPr>
          <w:ilvl w:val="0"/>
          <w:numId w:val="0"/>
        </w:numPr>
        <w:spacing w:line="540" w:lineRule="exact"/>
        <w:ind w:left="210" w:leftChars="0"/>
        <w:rPr>
          <w:rFonts w:hint="eastAsia" w:ascii="仿宋_GB2312" w:hAnsi="宋体" w:eastAsia="仿宋_GB2312"/>
          <w:b/>
          <w:bCs/>
          <w:sz w:val="32"/>
          <w:szCs w:val="32"/>
        </w:rPr>
      </w:pPr>
      <w:r>
        <w:rPr>
          <w:rFonts w:hint="eastAsia" w:ascii="仿宋_GB2312" w:hAnsi="宋体" w:eastAsia="仿宋_GB2312"/>
          <w:b/>
          <w:bCs/>
          <w:sz w:val="32"/>
          <w:szCs w:val="32"/>
          <w:lang w:val="en-US" w:eastAsia="zh-CN"/>
        </w:rPr>
        <w:t xml:space="preserve">        （二）</w:t>
      </w:r>
      <w:r>
        <w:rPr>
          <w:rFonts w:hint="eastAsia" w:ascii="仿宋_GB2312" w:hAnsi="宋体" w:eastAsia="仿宋_GB2312"/>
          <w:b/>
          <w:bCs/>
          <w:sz w:val="32"/>
          <w:szCs w:val="32"/>
        </w:rPr>
        <w:t>一般公共预算财政拨款支出情况</w:t>
      </w:r>
    </w:p>
    <w:p>
      <w:pPr>
        <w:spacing w:line="54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2020年度一般公共预算财政拨款支出合计</w:t>
      </w:r>
      <w:r>
        <w:rPr>
          <w:rFonts w:hint="eastAsia" w:ascii="仿宋_GB2312" w:hAnsi="宋体" w:eastAsia="仿宋_GB2312"/>
          <w:sz w:val="32"/>
          <w:szCs w:val="32"/>
          <w:lang w:val="en-US" w:eastAsia="zh-CN"/>
        </w:rPr>
        <w:t>1813.55</w:t>
      </w:r>
      <w:r>
        <w:rPr>
          <w:rFonts w:hint="eastAsia" w:ascii="仿宋_GB2312" w:hAnsi="宋体" w:eastAsia="仿宋_GB2312"/>
          <w:sz w:val="32"/>
          <w:szCs w:val="32"/>
        </w:rPr>
        <w:t>万元。</w:t>
      </w:r>
    </w:p>
    <w:p>
      <w:pPr>
        <w:numPr>
          <w:ilvl w:val="0"/>
          <w:numId w:val="0"/>
        </w:numPr>
        <w:spacing w:line="540" w:lineRule="exact"/>
        <w:ind w:left="1470" w:leftChars="0"/>
        <w:rPr>
          <w:rFonts w:ascii="仿宋_GB2312" w:hAnsi="宋体" w:eastAsia="仿宋_GB2312"/>
          <w:b/>
          <w:bCs/>
          <w:sz w:val="32"/>
          <w:szCs w:val="32"/>
        </w:rPr>
      </w:pPr>
      <w:r>
        <w:rPr>
          <w:rFonts w:hint="eastAsia" w:ascii="仿宋_GB2312" w:hAnsi="宋体" w:eastAsia="仿宋_GB2312"/>
          <w:b/>
          <w:bCs/>
          <w:sz w:val="32"/>
          <w:szCs w:val="32"/>
          <w:lang w:eastAsia="zh-CN"/>
        </w:rPr>
        <w:t>（三）</w:t>
      </w:r>
      <w:r>
        <w:rPr>
          <w:rFonts w:hint="eastAsia" w:ascii="仿宋_GB2312" w:hAnsi="宋体" w:eastAsia="仿宋_GB2312"/>
          <w:b/>
          <w:bCs/>
          <w:sz w:val="32"/>
          <w:szCs w:val="32"/>
        </w:rPr>
        <w:t>政府性基金预算财政拨款支出情况</w:t>
      </w:r>
    </w:p>
    <w:p>
      <w:pPr>
        <w:spacing w:line="54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2020年度无政府性基金预算财政拨款支出</w:t>
      </w:r>
    </w:p>
    <w:p>
      <w:pPr>
        <w:numPr>
          <w:ilvl w:val="0"/>
          <w:numId w:val="0"/>
        </w:numPr>
        <w:spacing w:line="540" w:lineRule="exact"/>
        <w:ind w:left="1050" w:leftChars="0"/>
        <w:rPr>
          <w:rFonts w:hint="eastAsia" w:ascii="仿宋_GB2312" w:hAnsi="宋体" w:eastAsia="仿宋_GB2312"/>
          <w:sz w:val="32"/>
          <w:szCs w:val="32"/>
        </w:rPr>
      </w:pPr>
      <w:r>
        <w:rPr>
          <w:rFonts w:hint="eastAsia" w:ascii="仿宋_GB2312" w:hAnsi="宋体" w:eastAsia="仿宋_GB2312"/>
          <w:b/>
          <w:bCs/>
          <w:sz w:val="32"/>
          <w:szCs w:val="32"/>
          <w:lang w:eastAsia="zh-CN"/>
        </w:rPr>
        <w:t>（四）</w:t>
      </w:r>
      <w:r>
        <w:rPr>
          <w:rFonts w:hint="eastAsia" w:ascii="仿宋_GB2312" w:hAnsi="宋体" w:eastAsia="仿宋_GB2312"/>
          <w:b/>
          <w:bCs/>
          <w:sz w:val="32"/>
          <w:szCs w:val="32"/>
        </w:rPr>
        <w:t>国有资本经营预算财政拨款支出情况</w:t>
      </w:r>
    </w:p>
    <w:p>
      <w:pPr>
        <w:spacing w:line="540" w:lineRule="exact"/>
        <w:ind w:firstLine="960" w:firstLineChars="300"/>
        <w:rPr>
          <w:rFonts w:hint="eastAsia" w:ascii="仿宋_GB2312" w:hAnsi="宋体" w:eastAsia="仿宋_GB2312"/>
          <w:sz w:val="32"/>
          <w:szCs w:val="32"/>
          <w:lang w:eastAsia="zh-CN"/>
        </w:rPr>
      </w:pPr>
      <w:r>
        <w:rPr>
          <w:rFonts w:hint="eastAsia" w:ascii="仿宋_GB2312" w:hAnsi="宋体" w:eastAsia="仿宋_GB2312"/>
          <w:sz w:val="32"/>
          <w:szCs w:val="32"/>
        </w:rPr>
        <w:t>2020年度无国有资本经营预算财政拨款支出</w:t>
      </w:r>
    </w:p>
    <w:p>
      <w:pPr>
        <w:spacing w:line="540" w:lineRule="exact"/>
        <w:ind w:firstLine="660"/>
        <w:rPr>
          <w:rFonts w:hint="eastAsia" w:ascii="黑体" w:hAnsi="黑体" w:eastAsia="黑体"/>
          <w:sz w:val="32"/>
          <w:szCs w:val="32"/>
        </w:rPr>
      </w:pPr>
      <w:r>
        <w:rPr>
          <w:rFonts w:hint="eastAsia" w:ascii="黑体" w:hAnsi="黑体" w:eastAsia="黑体"/>
          <w:sz w:val="32"/>
          <w:szCs w:val="32"/>
        </w:rPr>
        <w:t>三、一般公共预算财政拨款“三公”经费支出决算情况</w:t>
      </w:r>
    </w:p>
    <w:p>
      <w:pPr>
        <w:spacing w:line="540" w:lineRule="exact"/>
        <w:ind w:left="210" w:firstLine="643" w:firstLineChars="200"/>
        <w:rPr>
          <w:rFonts w:hint="eastAsia" w:ascii="仿宋" w:hAnsi="仿宋" w:eastAsia="仿宋" w:cs="仿宋"/>
          <w:b/>
          <w:bCs/>
          <w:sz w:val="32"/>
          <w:szCs w:val="32"/>
        </w:rPr>
      </w:pPr>
      <w:r>
        <w:rPr>
          <w:rFonts w:hint="eastAsia" w:ascii="仿宋" w:hAnsi="仿宋" w:eastAsia="仿宋" w:cs="仿宋"/>
          <w:b/>
          <w:bCs/>
          <w:sz w:val="32"/>
          <w:szCs w:val="32"/>
        </w:rPr>
        <w:t>(一）因公出国（境）费</w:t>
      </w:r>
    </w:p>
    <w:p>
      <w:pPr>
        <w:spacing w:line="540" w:lineRule="exact"/>
        <w:ind w:left="320"/>
        <w:rPr>
          <w:rFonts w:hint="eastAsia" w:ascii="仿宋" w:hAnsi="仿宋" w:eastAsia="仿宋" w:cs="仿宋"/>
          <w:sz w:val="32"/>
          <w:szCs w:val="32"/>
          <w:lang w:val="en-US" w:eastAsia="zh-CN"/>
        </w:rPr>
      </w:pPr>
      <w:r>
        <w:rPr>
          <w:rFonts w:hint="eastAsia" w:ascii="仿宋" w:hAnsi="仿宋" w:eastAsia="仿宋" w:cs="仿宋"/>
          <w:sz w:val="32"/>
          <w:szCs w:val="32"/>
        </w:rPr>
        <w:t xml:space="preserve"> </w:t>
      </w:r>
      <w:r>
        <w:rPr>
          <w:rFonts w:hint="eastAsia" w:ascii="仿宋" w:hAnsi="仿宋" w:eastAsia="仿宋" w:cs="仿宋"/>
          <w:b/>
          <w:bCs/>
          <w:sz w:val="32"/>
          <w:szCs w:val="32"/>
        </w:rPr>
        <w:t xml:space="preserve"> </w:t>
      </w:r>
      <w:r>
        <w:rPr>
          <w:rFonts w:hint="eastAsia" w:ascii="仿宋" w:hAnsi="仿宋" w:eastAsia="仿宋" w:cs="仿宋"/>
          <w:sz w:val="32"/>
          <w:szCs w:val="32"/>
        </w:rPr>
        <w:t>2020年度因公出国（境）费</w:t>
      </w:r>
      <w:r>
        <w:rPr>
          <w:rFonts w:hint="eastAsia" w:ascii="仿宋" w:hAnsi="仿宋" w:eastAsia="仿宋" w:cs="仿宋"/>
          <w:sz w:val="32"/>
          <w:szCs w:val="32"/>
          <w:lang w:val="en-US" w:eastAsia="zh-CN"/>
        </w:rPr>
        <w:t>0万元。</w:t>
      </w:r>
    </w:p>
    <w:p>
      <w:pPr>
        <w:spacing w:line="540" w:lineRule="exact"/>
        <w:ind w:left="320"/>
        <w:rPr>
          <w:rFonts w:ascii="仿宋" w:hAnsi="仿宋" w:eastAsia="仿宋" w:cs="仿宋"/>
          <w:b/>
          <w:bCs/>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 xml:space="preserve"> （二）公务接待费</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2020年度公务接待费支出0万元。</w:t>
      </w:r>
    </w:p>
    <w:p>
      <w:pPr>
        <w:numPr>
          <w:ilvl w:val="0"/>
          <w:numId w:val="2"/>
        </w:numPr>
        <w:spacing w:line="540" w:lineRule="exact"/>
        <w:ind w:left="-13" w:leftChars="0" w:firstLine="643" w:firstLineChars="0"/>
        <w:rPr>
          <w:rFonts w:ascii="仿宋_GB2312" w:hAnsi="宋体" w:eastAsia="仿宋_GB2312"/>
          <w:sz w:val="32"/>
          <w:szCs w:val="32"/>
        </w:rPr>
      </w:pPr>
      <w:r>
        <w:rPr>
          <w:rFonts w:hint="eastAsia" w:ascii="仿宋_GB2312" w:hAnsi="宋体" w:eastAsia="仿宋_GB2312"/>
          <w:b/>
          <w:bCs/>
          <w:sz w:val="32"/>
          <w:szCs w:val="32"/>
        </w:rPr>
        <w:t>公务用车购置及运行费</w:t>
      </w:r>
    </w:p>
    <w:p>
      <w:pPr>
        <w:spacing w:line="540" w:lineRule="exact"/>
        <w:ind w:firstLine="643" w:firstLineChars="200"/>
        <w:rPr>
          <w:rFonts w:hint="eastAsia" w:ascii="仿宋_GB2312" w:hAnsi="宋体" w:eastAsia="仿宋_GB2312"/>
          <w:sz w:val="32"/>
          <w:szCs w:val="32"/>
          <w:lang w:val="en-US" w:eastAsia="zh-CN"/>
        </w:rPr>
      </w:pPr>
      <w:r>
        <w:rPr>
          <w:rFonts w:hint="eastAsia" w:ascii="仿宋_GB2312" w:hAnsi="宋体" w:eastAsia="仿宋_GB2312"/>
          <w:b/>
          <w:bCs/>
          <w:sz w:val="32"/>
          <w:szCs w:val="32"/>
        </w:rPr>
        <w:t xml:space="preserve"> </w:t>
      </w:r>
      <w:r>
        <w:rPr>
          <w:rFonts w:hint="eastAsia" w:ascii="仿宋_GB2312" w:hAnsi="宋体" w:eastAsia="仿宋_GB2312"/>
          <w:sz w:val="32"/>
          <w:szCs w:val="32"/>
        </w:rPr>
        <w:t>2020年度公务用车购置及运行费</w:t>
      </w:r>
      <w:r>
        <w:rPr>
          <w:rFonts w:hint="eastAsia" w:ascii="仿宋_GB2312" w:hAnsi="宋体" w:eastAsia="仿宋_GB2312"/>
          <w:sz w:val="32"/>
          <w:szCs w:val="32"/>
          <w:lang w:val="en-US" w:eastAsia="zh-CN"/>
        </w:rPr>
        <w:t>0万元。</w:t>
      </w:r>
    </w:p>
    <w:p>
      <w:pPr>
        <w:spacing w:line="540" w:lineRule="exact"/>
        <w:ind w:firstLine="645"/>
        <w:rPr>
          <w:rFonts w:hint="eastAsia" w:ascii="黑体" w:hAnsi="黑体" w:eastAsia="黑体"/>
          <w:sz w:val="32"/>
          <w:szCs w:val="32"/>
        </w:rPr>
      </w:pPr>
      <w:r>
        <w:rPr>
          <w:rFonts w:hint="eastAsia" w:ascii="黑体" w:hAnsi="黑体" w:eastAsia="黑体"/>
          <w:sz w:val="32"/>
          <w:szCs w:val="32"/>
        </w:rPr>
        <w:t>四、一般公共预算财政拨款基本支出决算情况说明</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2020年度一般公共预算财政拨款基本支出1813.55万元，其中：人员经费1682.82万元，主要包括基本工资、津贴补贴、奖金、其他社会保障缴费、机关事业单位基本养老保险缴费、其他工资福利支出、离休费、退休费、抚恤金、生活补助、奖励金、住房公积金、采暖补贴、其他对个人和家庭补助的支出；日常公用经费130.73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w:t>
      </w:r>
    </w:p>
    <w:p>
      <w:p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五、其他重要事项的情况说明</w:t>
      </w:r>
    </w:p>
    <w:p>
      <w:pPr>
        <w:spacing w:line="540" w:lineRule="exact"/>
        <w:ind w:firstLine="643" w:firstLineChars="200"/>
        <w:rPr>
          <w:rFonts w:hint="eastAsia" w:ascii="楷体_GB2312" w:hAnsi="黑体" w:eastAsia="楷体_GB2312"/>
          <w:b/>
          <w:sz w:val="32"/>
          <w:szCs w:val="32"/>
        </w:rPr>
      </w:pPr>
      <w:r>
        <w:rPr>
          <w:rFonts w:hint="eastAsia" w:ascii="楷体_GB2312" w:hAnsi="黑体" w:eastAsia="楷体_GB2312"/>
          <w:b/>
          <w:sz w:val="32"/>
          <w:szCs w:val="32"/>
        </w:rPr>
        <w:t>（一）机关运行经费支出情况。</w:t>
      </w:r>
    </w:p>
    <w:p>
      <w:pPr>
        <w:spacing w:line="540" w:lineRule="exact"/>
        <w:ind w:firstLine="660"/>
        <w:rPr>
          <w:rFonts w:hint="eastAsia" w:ascii="仿宋_GB2312" w:hAnsi="黑体" w:eastAsia="仿宋_GB2312"/>
          <w:sz w:val="32"/>
          <w:szCs w:val="32"/>
        </w:rPr>
      </w:pPr>
      <w:r>
        <w:rPr>
          <w:rFonts w:hint="eastAsia" w:ascii="楷体" w:hAnsi="楷体" w:eastAsia="楷体"/>
          <w:b/>
          <w:sz w:val="32"/>
          <w:szCs w:val="32"/>
        </w:rPr>
        <w:t>本单位为事业单位，无机关运行经费。</w:t>
      </w:r>
    </w:p>
    <w:p>
      <w:pPr>
        <w:spacing w:line="540" w:lineRule="exact"/>
        <w:ind w:firstLine="643" w:firstLineChars="200"/>
        <w:rPr>
          <w:rFonts w:hint="eastAsia" w:ascii="楷体_GB2312" w:hAnsi="黑体" w:eastAsia="楷体_GB2312"/>
          <w:b/>
          <w:sz w:val="32"/>
          <w:szCs w:val="32"/>
        </w:rPr>
      </w:pPr>
      <w:r>
        <w:rPr>
          <w:rFonts w:hint="eastAsia" w:ascii="楷体_GB2312" w:hAnsi="黑体" w:eastAsia="楷体_GB2312"/>
          <w:b/>
          <w:sz w:val="32"/>
          <w:szCs w:val="32"/>
        </w:rPr>
        <w:t>（二）政府采购支出情况。</w:t>
      </w:r>
    </w:p>
    <w:p>
      <w:pPr>
        <w:spacing w:line="540" w:lineRule="exact"/>
        <w:ind w:firstLine="660"/>
        <w:rPr>
          <w:rFonts w:hint="eastAsia" w:ascii="仿宋_GB2312" w:hAnsi="黑体" w:eastAsia="仿宋_GB2312"/>
          <w:sz w:val="32"/>
          <w:szCs w:val="32"/>
        </w:rPr>
      </w:pPr>
      <w:r>
        <w:rPr>
          <w:rFonts w:hint="eastAsia" w:ascii="楷体" w:hAnsi="楷体" w:eastAsia="楷体"/>
          <w:b/>
          <w:sz w:val="32"/>
          <w:szCs w:val="32"/>
        </w:rPr>
        <w:t>本单位本年度无政府采购支出。</w:t>
      </w:r>
    </w:p>
    <w:p>
      <w:pPr>
        <w:spacing w:line="540" w:lineRule="exact"/>
        <w:ind w:firstLine="643" w:firstLineChars="200"/>
        <w:rPr>
          <w:rFonts w:hint="eastAsia" w:ascii="楷体_GB2312" w:hAnsi="黑体" w:eastAsia="楷体_GB2312"/>
          <w:b/>
          <w:sz w:val="32"/>
          <w:szCs w:val="32"/>
        </w:rPr>
      </w:pPr>
      <w:r>
        <w:rPr>
          <w:rFonts w:hint="eastAsia" w:ascii="楷体_GB2312" w:hAnsi="黑体" w:eastAsia="楷体_GB2312"/>
          <w:b/>
          <w:sz w:val="32"/>
          <w:szCs w:val="32"/>
        </w:rPr>
        <w:t>（三）国有资产占用情况。</w:t>
      </w:r>
    </w:p>
    <w:p>
      <w:pPr>
        <w:spacing w:line="54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截至2020年12月31日，康平县东升满族蒙古族九年一贯制学校共有车辆0辆，其中：副省级以上领导干部用车0辆，主要</w:t>
      </w:r>
      <w:r>
        <w:rPr>
          <w:rFonts w:ascii="仿宋_GB2312" w:hAnsi="黑体" w:eastAsia="仿宋_GB2312"/>
          <w:sz w:val="32"/>
          <w:szCs w:val="32"/>
        </w:rPr>
        <w:t>领导干部</w:t>
      </w:r>
      <w:r>
        <w:rPr>
          <w:rFonts w:hint="eastAsia" w:ascii="仿宋_GB2312" w:hAnsi="黑体" w:eastAsia="仿宋_GB2312"/>
          <w:sz w:val="32"/>
          <w:szCs w:val="32"/>
        </w:rPr>
        <w:t>用车0辆，机要通讯用车0辆，应急</w:t>
      </w:r>
      <w:r>
        <w:rPr>
          <w:rFonts w:ascii="仿宋_GB2312" w:hAnsi="黑体" w:eastAsia="仿宋_GB2312"/>
          <w:sz w:val="32"/>
          <w:szCs w:val="32"/>
        </w:rPr>
        <w:t>保障用车</w:t>
      </w:r>
      <w:r>
        <w:rPr>
          <w:rFonts w:hint="eastAsia" w:ascii="仿宋_GB2312" w:hAnsi="黑体" w:eastAsia="仿宋_GB2312"/>
          <w:sz w:val="32"/>
          <w:szCs w:val="32"/>
        </w:rPr>
        <w:t>0</w:t>
      </w:r>
      <w:r>
        <w:rPr>
          <w:rFonts w:ascii="仿宋_GB2312" w:hAnsi="黑体" w:eastAsia="仿宋_GB2312"/>
          <w:sz w:val="32"/>
          <w:szCs w:val="32"/>
        </w:rPr>
        <w:t>辆，</w:t>
      </w:r>
      <w:r>
        <w:rPr>
          <w:rFonts w:hint="eastAsia" w:ascii="仿宋_GB2312" w:hAnsi="黑体" w:eastAsia="仿宋_GB2312"/>
          <w:sz w:val="32"/>
          <w:szCs w:val="32"/>
        </w:rPr>
        <w:t>执法执勤</w:t>
      </w:r>
      <w:r>
        <w:rPr>
          <w:rFonts w:ascii="仿宋_GB2312" w:hAnsi="黑体" w:eastAsia="仿宋_GB2312"/>
          <w:sz w:val="32"/>
          <w:szCs w:val="32"/>
        </w:rPr>
        <w:t>用车</w:t>
      </w:r>
      <w:r>
        <w:rPr>
          <w:rFonts w:hint="eastAsia" w:ascii="仿宋_GB2312" w:hAnsi="黑体" w:eastAsia="仿宋_GB2312"/>
          <w:sz w:val="32"/>
          <w:szCs w:val="32"/>
        </w:rPr>
        <w:t>0辆</w:t>
      </w:r>
      <w:r>
        <w:rPr>
          <w:rFonts w:ascii="仿宋_GB2312" w:hAnsi="黑体" w:eastAsia="仿宋_GB2312"/>
          <w:sz w:val="32"/>
          <w:szCs w:val="32"/>
        </w:rPr>
        <w:t>，</w:t>
      </w:r>
      <w:r>
        <w:rPr>
          <w:rFonts w:hint="eastAsia" w:ascii="仿宋_GB2312" w:hAnsi="黑体" w:eastAsia="仿宋_GB2312"/>
          <w:sz w:val="32"/>
          <w:szCs w:val="32"/>
        </w:rPr>
        <w:t>特种专业技术用车0辆，离退休</w:t>
      </w:r>
      <w:r>
        <w:rPr>
          <w:rFonts w:ascii="仿宋_GB2312" w:hAnsi="黑体" w:eastAsia="仿宋_GB2312"/>
          <w:sz w:val="32"/>
          <w:szCs w:val="32"/>
        </w:rPr>
        <w:t>干部用车</w:t>
      </w:r>
      <w:r>
        <w:rPr>
          <w:rFonts w:hint="eastAsia" w:ascii="仿宋_GB2312" w:hAnsi="黑体" w:eastAsia="仿宋_GB2312"/>
          <w:sz w:val="32"/>
          <w:szCs w:val="32"/>
        </w:rPr>
        <w:t>0辆</w:t>
      </w:r>
      <w:r>
        <w:rPr>
          <w:rFonts w:ascii="仿宋_GB2312" w:hAnsi="黑体" w:eastAsia="仿宋_GB2312"/>
          <w:sz w:val="32"/>
          <w:szCs w:val="32"/>
        </w:rPr>
        <w:t>，</w:t>
      </w:r>
      <w:r>
        <w:rPr>
          <w:rFonts w:hint="eastAsia" w:ascii="仿宋_GB2312" w:hAnsi="黑体" w:eastAsia="仿宋_GB2312"/>
          <w:sz w:val="32"/>
          <w:szCs w:val="32"/>
        </w:rPr>
        <w:t>其他用车0辆；单位价值50万元以上通用设备0台（套），单价100万元以上专用设备0台（套）。</w:t>
      </w:r>
    </w:p>
    <w:p>
      <w:pPr>
        <w:spacing w:line="540" w:lineRule="exact"/>
        <w:ind w:firstLine="643" w:firstLineChars="200"/>
        <w:rPr>
          <w:rFonts w:hint="eastAsia" w:ascii="楷体_GB2312" w:hAnsi="宋体" w:eastAsia="楷体_GB2312"/>
          <w:b/>
          <w:sz w:val="32"/>
          <w:szCs w:val="32"/>
        </w:rPr>
      </w:pPr>
      <w:r>
        <w:rPr>
          <w:rFonts w:hint="eastAsia" w:ascii="楷体_GB2312" w:hAnsi="宋体" w:eastAsia="楷体_GB2312"/>
          <w:b/>
          <w:sz w:val="32"/>
          <w:szCs w:val="32"/>
        </w:rPr>
        <w:t>（四）预算绩效管理工作开展情况。</w:t>
      </w:r>
    </w:p>
    <w:p>
      <w:pPr>
        <w:spacing w:line="540"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根据财政预算管理要求，我单位组织对2020年度预算项目支出全面开展绩效自评，共涉及预算支出项目</w:t>
      </w:r>
      <w:r>
        <w:rPr>
          <w:rFonts w:hint="eastAsia" w:ascii="仿宋_GB2312" w:hAnsi="黑体" w:eastAsia="仿宋_GB2312"/>
          <w:sz w:val="32"/>
          <w:szCs w:val="32"/>
        </w:rPr>
        <w:t>0</w:t>
      </w:r>
      <w:r>
        <w:rPr>
          <w:rFonts w:hint="eastAsia" w:ascii="仿宋_GB2312" w:hAnsi="宋体" w:eastAsia="仿宋_GB2312" w:cs="宋体"/>
          <w:sz w:val="32"/>
          <w:szCs w:val="32"/>
        </w:rPr>
        <w:t>个，涉及资金</w:t>
      </w:r>
      <w:r>
        <w:rPr>
          <w:rFonts w:hint="eastAsia" w:ascii="仿宋_GB2312" w:hAnsi="黑体" w:eastAsia="仿宋_GB2312"/>
          <w:sz w:val="32"/>
          <w:szCs w:val="32"/>
        </w:rPr>
        <w:t>0</w:t>
      </w:r>
      <w:r>
        <w:rPr>
          <w:rFonts w:hint="eastAsia" w:ascii="仿宋_GB2312" w:hAnsi="宋体" w:eastAsia="仿宋_GB2312" w:cs="宋体"/>
          <w:sz w:val="32"/>
          <w:szCs w:val="32"/>
        </w:rPr>
        <w:t>万元，自评覆盖率（开展绩效自评的项目数/年初批复绩效目标的项目数）达到</w:t>
      </w:r>
      <w:r>
        <w:rPr>
          <w:rFonts w:hint="eastAsia" w:ascii="仿宋_GB2312" w:hAnsi="黑体" w:eastAsia="仿宋_GB2312"/>
          <w:sz w:val="32"/>
          <w:szCs w:val="32"/>
        </w:rPr>
        <w:t>100</w:t>
      </w:r>
      <w:r>
        <w:rPr>
          <w:rFonts w:hint="eastAsia" w:ascii="仿宋_GB2312" w:hAnsi="宋体" w:eastAsia="仿宋_GB2312" w:cs="宋体"/>
          <w:sz w:val="32"/>
          <w:szCs w:val="32"/>
        </w:rPr>
        <w:t>%，自评平均分（开展绩效自评的项目分数总和/开展绩效自评的项目数）</w:t>
      </w:r>
      <w:r>
        <w:rPr>
          <w:rFonts w:hint="eastAsia" w:ascii="仿宋_GB2312" w:hAnsi="黑体" w:eastAsia="仿宋_GB2312"/>
          <w:sz w:val="32"/>
          <w:szCs w:val="32"/>
        </w:rPr>
        <w:t>100</w:t>
      </w:r>
      <w:r>
        <w:rPr>
          <w:rFonts w:hint="eastAsia" w:ascii="仿宋_GB2312" w:hAnsi="宋体" w:eastAsia="仿宋_GB2312" w:cs="宋体"/>
          <w:sz w:val="32"/>
          <w:szCs w:val="32"/>
        </w:rPr>
        <w:t>分。</w:t>
      </w:r>
    </w:p>
    <w:p>
      <w:pPr>
        <w:spacing w:line="540"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通过绩效自评发现预算项目管理主要存在以下问题：</w:t>
      </w:r>
      <w:r>
        <w:rPr>
          <w:rFonts w:hint="eastAsia" w:ascii="黑体" w:hAnsi="黑体" w:eastAsia="黑体" w:cs="宋体"/>
          <w:sz w:val="32"/>
          <w:szCs w:val="32"/>
        </w:rPr>
        <w:t>无</w:t>
      </w:r>
      <w:r>
        <w:rPr>
          <w:rFonts w:hint="eastAsia" w:ascii="仿宋_GB2312" w:hAnsi="宋体" w:eastAsia="仿宋_GB2312" w:cs="宋体"/>
          <w:sz w:val="32"/>
          <w:szCs w:val="32"/>
        </w:rPr>
        <w:t>。下一步将采取以下措施加以改进：无。</w:t>
      </w:r>
    </w:p>
    <w:p>
      <w:pPr>
        <w:spacing w:line="540" w:lineRule="exact"/>
        <w:ind w:firstLine="640" w:firstLineChars="200"/>
        <w:rPr>
          <w:rFonts w:hint="eastAsia" w:ascii="仿宋_GB2312" w:hAnsi="宋体" w:eastAsia="仿宋_GB2312" w:cs="宋体"/>
          <w:sz w:val="32"/>
          <w:szCs w:val="32"/>
        </w:rPr>
      </w:pPr>
    </w:p>
    <w:p>
      <w:pPr>
        <w:spacing w:line="540" w:lineRule="exact"/>
        <w:ind w:firstLine="723" w:firstLineChars="200"/>
        <w:rPr>
          <w:rFonts w:ascii="楷体" w:hAnsi="楷体" w:eastAsia="楷体"/>
          <w:b/>
          <w:sz w:val="32"/>
          <w:szCs w:val="32"/>
        </w:rPr>
      </w:pPr>
      <w:r>
        <w:rPr>
          <w:rFonts w:ascii="宋体" w:hAnsi="宋体"/>
          <w:b/>
          <w:sz w:val="36"/>
          <w:szCs w:val="36"/>
        </w:rPr>
        <w:br w:type="page"/>
      </w:r>
      <w:r>
        <w:rPr>
          <w:rFonts w:hint="eastAsia" w:ascii="宋体" w:hAnsi="宋体"/>
          <w:b/>
          <w:sz w:val="36"/>
          <w:szCs w:val="36"/>
        </w:rPr>
        <w:t>第四部分 名词解释</w:t>
      </w:r>
    </w:p>
    <w:p>
      <w:pPr>
        <w:spacing w:line="540" w:lineRule="exact"/>
        <w:jc w:val="center"/>
        <w:rPr>
          <w:rFonts w:ascii="宋体" w:hAnsi="宋体"/>
          <w:b/>
          <w:sz w:val="36"/>
          <w:szCs w:val="36"/>
        </w:rPr>
      </w:pP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1.财政拨款收入：</w:t>
      </w:r>
      <w:r>
        <w:rPr>
          <w:rFonts w:hint="eastAsia" w:ascii="仿宋_GB2312" w:eastAsia="仿宋_GB2312"/>
          <w:sz w:val="32"/>
          <w:szCs w:val="32"/>
        </w:rPr>
        <w:t>指单位从同级财政部门取得的财政预算资金。</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2.上级补助收入：</w:t>
      </w:r>
      <w:r>
        <w:rPr>
          <w:rFonts w:hint="eastAsia" w:ascii="仿宋_GB2312" w:eastAsia="仿宋_GB2312"/>
          <w:sz w:val="32"/>
          <w:szCs w:val="32"/>
        </w:rPr>
        <w:t>指单位从主管部门和上级单位取得的非财政性补助收入。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3.事业收入：</w:t>
      </w:r>
      <w:r>
        <w:rPr>
          <w:rFonts w:hint="eastAsia" w:ascii="仿宋_GB2312" w:eastAsia="仿宋_GB2312"/>
          <w:sz w:val="32"/>
          <w:szCs w:val="32"/>
        </w:rPr>
        <w:t>指事业单位开展专业业务活动及辅助活动所取得的收入。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4.经营收入：</w:t>
      </w:r>
      <w:r>
        <w:rPr>
          <w:rFonts w:hint="eastAsia" w:ascii="仿宋_GB2312" w:eastAsia="仿宋_GB2312"/>
          <w:sz w:val="32"/>
          <w:szCs w:val="32"/>
        </w:rPr>
        <w:t>指事业单位在专业业务活动及辅助活动之外开展非独立核算经营活动取得的收入。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5.附属单位上缴收入：</w:t>
      </w:r>
      <w:r>
        <w:rPr>
          <w:rFonts w:hint="eastAsia" w:ascii="仿宋_GB2312" w:eastAsia="仿宋_GB2312"/>
          <w:sz w:val="32"/>
          <w:szCs w:val="32"/>
        </w:rPr>
        <w:t>指单位附属的独立核算单位按照规定上缴的收入。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6.其他收入：</w:t>
      </w:r>
      <w:r>
        <w:rPr>
          <w:rFonts w:hint="eastAsia" w:ascii="仿宋_GB2312" w:eastAsia="仿宋_GB2312"/>
          <w:sz w:val="32"/>
          <w:szCs w:val="32"/>
        </w:rPr>
        <w:t>指除上述“财政拨款收入”、</w:t>
      </w:r>
      <w:r>
        <w:rPr>
          <w:rFonts w:hint="eastAsia" w:ascii="仿宋_GB2312" w:eastAsia="仿宋_GB2312"/>
          <w:b/>
          <w:sz w:val="32"/>
          <w:szCs w:val="32"/>
        </w:rPr>
        <w:t xml:space="preserve"> </w:t>
      </w:r>
      <w:r>
        <w:rPr>
          <w:rFonts w:hint="eastAsia" w:ascii="仿宋_GB2312" w:eastAsia="仿宋_GB2312"/>
          <w:sz w:val="32"/>
          <w:szCs w:val="32"/>
        </w:rPr>
        <w:t>“上级补助收入”、“事业收入”、“经营收入”、“附属单位上缴收入”等以外的收入。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7.用事业基金弥补收支差额：</w:t>
      </w:r>
      <w:r>
        <w:rPr>
          <w:rFonts w:hint="eastAsia" w:ascii="仿宋_GB2312" w:eastAsia="仿宋_GB2312"/>
          <w:sz w:val="32"/>
          <w:szCs w:val="32"/>
        </w:rPr>
        <w:t>指事业单位在当年的“财政拨款收入”、“财政拨款结转和结余资金”、“上级补助收入”、“事业收入”、“经营收入”、“附属单位上缴收入”、“其他收入”不足以安排当年支出情况下，使用以前年度积累的事业基金弥补本年度收支缺口的资金。</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8.上年结转和结余：</w:t>
      </w:r>
      <w:r>
        <w:rPr>
          <w:rFonts w:hint="eastAsia" w:ascii="仿宋_GB2312" w:eastAsia="仿宋_GB2312"/>
          <w:sz w:val="32"/>
          <w:szCs w:val="32"/>
        </w:rPr>
        <w:t>指以前年度尚未完成、结转到本年按有关规定继续使用的资金。</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9.基本支出：</w:t>
      </w:r>
      <w:r>
        <w:rPr>
          <w:rFonts w:hint="eastAsia" w:ascii="仿宋_GB2312" w:eastAsia="仿宋_GB2312"/>
          <w:sz w:val="32"/>
          <w:szCs w:val="32"/>
        </w:rPr>
        <w:t>指保障机构正常运转、完成日常工作任务而发生的人员支出和公用支出。</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10.项目支出：</w:t>
      </w:r>
      <w:r>
        <w:rPr>
          <w:rFonts w:hint="eastAsia" w:ascii="仿宋_GB2312" w:eastAsia="仿宋_GB2312"/>
          <w:sz w:val="32"/>
          <w:szCs w:val="32"/>
        </w:rPr>
        <w:t>指在基本支出之外为完成特定行政任务和事业发展目标所发生的支出。</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11.上缴上级支出：</w:t>
      </w:r>
      <w:r>
        <w:rPr>
          <w:rFonts w:hint="eastAsia" w:ascii="仿宋_GB2312" w:eastAsia="仿宋_GB2312"/>
          <w:sz w:val="32"/>
          <w:szCs w:val="32"/>
        </w:rPr>
        <w:t>指事业单位按照财政部门和主管部门的规定上缴上级单位的支出。</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12.经营支出：</w:t>
      </w:r>
      <w:r>
        <w:rPr>
          <w:rFonts w:hint="eastAsia" w:ascii="仿宋_GB2312" w:eastAsia="仿宋_GB2312"/>
          <w:sz w:val="32"/>
          <w:szCs w:val="32"/>
        </w:rPr>
        <w:t>指事业单位在专业活动及辅助活动之外开展非独立核算经营活动发生的支出。</w:t>
      </w:r>
    </w:p>
    <w:p>
      <w:pPr>
        <w:spacing w:line="540" w:lineRule="exact"/>
        <w:ind w:firstLine="643" w:firstLineChars="200"/>
        <w:rPr>
          <w:rFonts w:hint="eastAsia" w:ascii="仿宋_GB2312" w:eastAsia="仿宋_GB2312"/>
          <w:b/>
          <w:sz w:val="32"/>
          <w:szCs w:val="32"/>
        </w:rPr>
      </w:pPr>
      <w:r>
        <w:rPr>
          <w:rFonts w:hint="eastAsia" w:ascii="仿宋_GB2312" w:eastAsia="仿宋_GB2312"/>
          <w:b/>
          <w:sz w:val="32"/>
          <w:szCs w:val="32"/>
        </w:rPr>
        <w:t>13.对附属单位补助支出：</w:t>
      </w:r>
      <w:r>
        <w:rPr>
          <w:rFonts w:hint="eastAsia" w:ascii="仿宋_GB2312" w:eastAsia="仿宋_GB2312"/>
          <w:sz w:val="32"/>
          <w:szCs w:val="32"/>
        </w:rPr>
        <w:t>指事业单位用财政补助收入之外的收入对附属单位补助发生的支出。</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14.“三公”经费：</w:t>
      </w:r>
      <w:r>
        <w:rPr>
          <w:rFonts w:hint="eastAsia" w:ascii="仿宋_GB2312" w:eastAsia="仿宋_GB2312"/>
          <w:sz w:val="32"/>
          <w:szCs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3" w:firstLineChars="200"/>
        <w:rPr>
          <w:rFonts w:hint="eastAsia" w:ascii="仿宋_GB2312" w:eastAsia="仿宋_GB2312"/>
          <w:b/>
          <w:sz w:val="32"/>
          <w:szCs w:val="32"/>
        </w:rPr>
      </w:pPr>
      <w:r>
        <w:rPr>
          <w:rFonts w:hint="eastAsia" w:ascii="仿宋_GB2312" w:eastAsia="仿宋_GB2312"/>
          <w:b/>
          <w:sz w:val="32"/>
          <w:szCs w:val="32"/>
        </w:rPr>
        <w:t>15.一般公共服务（类）财政事务（款）行政运行（项）：</w:t>
      </w:r>
      <w:r>
        <w:rPr>
          <w:rFonts w:hint="eastAsia" w:ascii="仿宋_GB2312" w:eastAsia="仿宋_GB2312"/>
          <w:sz w:val="32"/>
          <w:szCs w:val="32"/>
        </w:rPr>
        <w:t>反映行政单位包括实行公务员管理的事业单位的基本支出。</w:t>
      </w:r>
    </w:p>
    <w:p>
      <w:pPr>
        <w:spacing w:line="540" w:lineRule="exact"/>
        <w:ind w:firstLine="640" w:firstLineChars="200"/>
        <w:jc w:val="left"/>
        <w:rPr>
          <w:rFonts w:hint="eastAsia" w:ascii="仿宋_GB2312" w:eastAsia="仿宋_GB2312"/>
          <w:i/>
          <w:sz w:val="32"/>
          <w:szCs w:val="32"/>
          <w:u w:val="single"/>
        </w:rPr>
      </w:pPr>
    </w:p>
    <w:p>
      <w:pPr>
        <w:spacing w:line="540" w:lineRule="exact"/>
        <w:rPr>
          <w:rFonts w:hint="eastAsia" w:ascii="宋体" w:hAnsi="宋体"/>
          <w:b/>
          <w:sz w:val="36"/>
          <w:szCs w:val="36"/>
        </w:rPr>
      </w:pPr>
    </w:p>
    <w:p>
      <w:pPr>
        <w:spacing w:line="540" w:lineRule="exact"/>
        <w:jc w:val="center"/>
        <w:rPr>
          <w:rFonts w:hint="eastAsia" w:ascii="宋体" w:hAnsi="宋体"/>
          <w:b/>
          <w:sz w:val="36"/>
          <w:szCs w:val="36"/>
        </w:rPr>
      </w:pPr>
    </w:p>
    <w:p>
      <w:pPr>
        <w:spacing w:line="540" w:lineRule="exact"/>
        <w:jc w:val="center"/>
        <w:rPr>
          <w:rFonts w:hint="eastAsia" w:ascii="宋体" w:hAnsi="宋体"/>
          <w:b/>
          <w:sz w:val="36"/>
          <w:szCs w:val="36"/>
        </w:rPr>
      </w:pPr>
    </w:p>
    <w:p>
      <w:pPr>
        <w:spacing w:line="540" w:lineRule="exact"/>
        <w:jc w:val="center"/>
        <w:rPr>
          <w:rFonts w:hint="eastAsia" w:ascii="宋体" w:hAnsi="宋体"/>
          <w:b/>
          <w:sz w:val="36"/>
          <w:szCs w:val="36"/>
        </w:rPr>
      </w:pPr>
    </w:p>
    <w:p>
      <w:pPr>
        <w:spacing w:line="540" w:lineRule="exact"/>
        <w:jc w:val="center"/>
        <w:rPr>
          <w:rFonts w:hint="eastAsia" w:ascii="宋体" w:hAnsi="宋体"/>
          <w:b/>
          <w:sz w:val="36"/>
          <w:szCs w:val="36"/>
        </w:rPr>
      </w:pPr>
    </w:p>
    <w:p>
      <w:pPr>
        <w:spacing w:line="540" w:lineRule="exact"/>
        <w:jc w:val="center"/>
        <w:rPr>
          <w:rFonts w:hint="eastAsia" w:ascii="宋体" w:hAnsi="宋体"/>
          <w:b/>
          <w:sz w:val="36"/>
          <w:szCs w:val="36"/>
        </w:rPr>
      </w:pPr>
    </w:p>
    <w:p>
      <w:pPr>
        <w:spacing w:line="540" w:lineRule="exact"/>
        <w:jc w:val="center"/>
        <w:rPr>
          <w:rFonts w:hint="eastAsia" w:ascii="仿宋_GB2312" w:eastAsia="仿宋_GB2312"/>
          <w:sz w:val="52"/>
          <w:szCs w:val="52"/>
        </w:rPr>
      </w:pPr>
      <w:r>
        <w:rPr>
          <w:rFonts w:hint="eastAsia" w:ascii="宋体" w:hAnsi="宋体"/>
          <w:b/>
          <w:sz w:val="52"/>
          <w:szCs w:val="52"/>
        </w:rPr>
        <w:t>第二部分 康平县东升满族蒙古族九年一贯制学校单位2020年度部门决算表</w:t>
      </w:r>
    </w:p>
    <w:p>
      <w:pPr>
        <w:spacing w:line="540" w:lineRule="exact"/>
        <w:jc w:val="left"/>
        <w:rPr>
          <w:sz w:val="32"/>
          <w:szCs w:val="32"/>
        </w:rPr>
      </w:pPr>
    </w:p>
    <w:p>
      <w:pPr>
        <w:spacing w:line="540" w:lineRule="exact"/>
        <w:rPr>
          <w:sz w:val="32"/>
          <w:szCs w:val="32"/>
        </w:rPr>
      </w:pPr>
    </w:p>
    <w:sectPr>
      <w:footerReference r:id="rId3" w:type="default"/>
      <w:pgSz w:w="11906" w:h="16838"/>
      <w:pgMar w:top="1701" w:right="1418" w:bottom="1701"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separate"/>
    </w:r>
    <w:r>
      <w:rPr>
        <w:rStyle w:val="7"/>
      </w:rPr>
      <w:t>9</w:t>
    </w:r>
    <w:r>
      <w:fldChar w:fldCharType="end"/>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B5CEF2"/>
    <w:multiLevelType w:val="singleLevel"/>
    <w:tmpl w:val="2BB5CEF2"/>
    <w:lvl w:ilvl="0" w:tentative="0">
      <w:start w:val="3"/>
      <w:numFmt w:val="chineseCounting"/>
      <w:suff w:val="nothing"/>
      <w:lvlText w:val="（%1）"/>
      <w:lvlJc w:val="left"/>
      <w:pPr>
        <w:ind w:left="-13"/>
      </w:pPr>
      <w:rPr>
        <w:rFonts w:hint="eastAsia"/>
      </w:rPr>
    </w:lvl>
  </w:abstractNum>
  <w:abstractNum w:abstractNumId="1">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E62AD"/>
    <w:rsid w:val="00032E9E"/>
    <w:rsid w:val="00032F81"/>
    <w:rsid w:val="00060115"/>
    <w:rsid w:val="000658A3"/>
    <w:rsid w:val="00072D02"/>
    <w:rsid w:val="000B3DEA"/>
    <w:rsid w:val="000B6122"/>
    <w:rsid w:val="000D22BA"/>
    <w:rsid w:val="000D240A"/>
    <w:rsid w:val="000F5313"/>
    <w:rsid w:val="000F765E"/>
    <w:rsid w:val="001032C2"/>
    <w:rsid w:val="00163B6F"/>
    <w:rsid w:val="00180B70"/>
    <w:rsid w:val="00197AF9"/>
    <w:rsid w:val="001C1C90"/>
    <w:rsid w:val="001C6690"/>
    <w:rsid w:val="001D2A6F"/>
    <w:rsid w:val="001E08A3"/>
    <w:rsid w:val="001F06E5"/>
    <w:rsid w:val="001F1859"/>
    <w:rsid w:val="001F4827"/>
    <w:rsid w:val="00200A51"/>
    <w:rsid w:val="00207D64"/>
    <w:rsid w:val="0022212D"/>
    <w:rsid w:val="002906B6"/>
    <w:rsid w:val="00290AFF"/>
    <w:rsid w:val="002A24A4"/>
    <w:rsid w:val="003203A0"/>
    <w:rsid w:val="003203C6"/>
    <w:rsid w:val="00321141"/>
    <w:rsid w:val="00323084"/>
    <w:rsid w:val="00332D2F"/>
    <w:rsid w:val="00336596"/>
    <w:rsid w:val="0035450D"/>
    <w:rsid w:val="00364A64"/>
    <w:rsid w:val="00367CAA"/>
    <w:rsid w:val="00387D22"/>
    <w:rsid w:val="00393A92"/>
    <w:rsid w:val="003B6717"/>
    <w:rsid w:val="003F6668"/>
    <w:rsid w:val="003F6BEE"/>
    <w:rsid w:val="00402D05"/>
    <w:rsid w:val="004041E3"/>
    <w:rsid w:val="00411F62"/>
    <w:rsid w:val="00456D37"/>
    <w:rsid w:val="004732D7"/>
    <w:rsid w:val="004A23C9"/>
    <w:rsid w:val="004B0299"/>
    <w:rsid w:val="004C76A7"/>
    <w:rsid w:val="004D61EA"/>
    <w:rsid w:val="004F2A87"/>
    <w:rsid w:val="0050710B"/>
    <w:rsid w:val="005116A6"/>
    <w:rsid w:val="00524803"/>
    <w:rsid w:val="00534C2B"/>
    <w:rsid w:val="00545E8E"/>
    <w:rsid w:val="00564067"/>
    <w:rsid w:val="005948B6"/>
    <w:rsid w:val="005D57A0"/>
    <w:rsid w:val="00604DF5"/>
    <w:rsid w:val="00631CB0"/>
    <w:rsid w:val="00662644"/>
    <w:rsid w:val="006644B5"/>
    <w:rsid w:val="00671A28"/>
    <w:rsid w:val="00685558"/>
    <w:rsid w:val="00691121"/>
    <w:rsid w:val="006A684B"/>
    <w:rsid w:val="006A776C"/>
    <w:rsid w:val="006E587F"/>
    <w:rsid w:val="007121E9"/>
    <w:rsid w:val="00726A72"/>
    <w:rsid w:val="00750153"/>
    <w:rsid w:val="00780DF3"/>
    <w:rsid w:val="007B04F4"/>
    <w:rsid w:val="007B6B61"/>
    <w:rsid w:val="007C52D7"/>
    <w:rsid w:val="007D2BBC"/>
    <w:rsid w:val="007D6F23"/>
    <w:rsid w:val="007F2DFA"/>
    <w:rsid w:val="008137CD"/>
    <w:rsid w:val="00822085"/>
    <w:rsid w:val="00822199"/>
    <w:rsid w:val="00832761"/>
    <w:rsid w:val="00844922"/>
    <w:rsid w:val="00881DD9"/>
    <w:rsid w:val="00884AC9"/>
    <w:rsid w:val="0089145A"/>
    <w:rsid w:val="00894620"/>
    <w:rsid w:val="008B2CFC"/>
    <w:rsid w:val="008B3CCB"/>
    <w:rsid w:val="008D1604"/>
    <w:rsid w:val="008F7276"/>
    <w:rsid w:val="00985733"/>
    <w:rsid w:val="009A2786"/>
    <w:rsid w:val="009B4D1E"/>
    <w:rsid w:val="009B79E2"/>
    <w:rsid w:val="009E4E30"/>
    <w:rsid w:val="009F0A40"/>
    <w:rsid w:val="009F2380"/>
    <w:rsid w:val="00A0483E"/>
    <w:rsid w:val="00A7262F"/>
    <w:rsid w:val="00A80804"/>
    <w:rsid w:val="00AB4DD1"/>
    <w:rsid w:val="00AE171A"/>
    <w:rsid w:val="00AF3E3D"/>
    <w:rsid w:val="00AF5725"/>
    <w:rsid w:val="00B13FB0"/>
    <w:rsid w:val="00B515A4"/>
    <w:rsid w:val="00B70A86"/>
    <w:rsid w:val="00B869C4"/>
    <w:rsid w:val="00BB3AF8"/>
    <w:rsid w:val="00BD0675"/>
    <w:rsid w:val="00BE4E88"/>
    <w:rsid w:val="00BE62AD"/>
    <w:rsid w:val="00BF04D3"/>
    <w:rsid w:val="00BF3D70"/>
    <w:rsid w:val="00BF4377"/>
    <w:rsid w:val="00C065DC"/>
    <w:rsid w:val="00C102DC"/>
    <w:rsid w:val="00C30DAE"/>
    <w:rsid w:val="00C524CB"/>
    <w:rsid w:val="00C52BC7"/>
    <w:rsid w:val="00C5630E"/>
    <w:rsid w:val="00C63AF4"/>
    <w:rsid w:val="00C9510A"/>
    <w:rsid w:val="00CB2C43"/>
    <w:rsid w:val="00CB5AB6"/>
    <w:rsid w:val="00CC4DB7"/>
    <w:rsid w:val="00CD5373"/>
    <w:rsid w:val="00CD6864"/>
    <w:rsid w:val="00CD6878"/>
    <w:rsid w:val="00CD6DCF"/>
    <w:rsid w:val="00CE6EE4"/>
    <w:rsid w:val="00CF12E5"/>
    <w:rsid w:val="00D60970"/>
    <w:rsid w:val="00D67601"/>
    <w:rsid w:val="00D7186B"/>
    <w:rsid w:val="00D7682F"/>
    <w:rsid w:val="00D93016"/>
    <w:rsid w:val="00D957B8"/>
    <w:rsid w:val="00DB5F6B"/>
    <w:rsid w:val="00DC5B3D"/>
    <w:rsid w:val="00DF3E8C"/>
    <w:rsid w:val="00E029F0"/>
    <w:rsid w:val="00E116D7"/>
    <w:rsid w:val="00E20F61"/>
    <w:rsid w:val="00E30744"/>
    <w:rsid w:val="00E36863"/>
    <w:rsid w:val="00E51358"/>
    <w:rsid w:val="00E632F0"/>
    <w:rsid w:val="00E86046"/>
    <w:rsid w:val="00E93FAF"/>
    <w:rsid w:val="00EA177D"/>
    <w:rsid w:val="00EB6D7D"/>
    <w:rsid w:val="00EE1982"/>
    <w:rsid w:val="00F12957"/>
    <w:rsid w:val="00F24450"/>
    <w:rsid w:val="00F54C5F"/>
    <w:rsid w:val="00F622B4"/>
    <w:rsid w:val="00F65298"/>
    <w:rsid w:val="00F72460"/>
    <w:rsid w:val="00F932BE"/>
    <w:rsid w:val="00FA3ADE"/>
    <w:rsid w:val="00FC0FED"/>
    <w:rsid w:val="00FE3E9D"/>
    <w:rsid w:val="01F02358"/>
    <w:rsid w:val="020C2EEF"/>
    <w:rsid w:val="02A36547"/>
    <w:rsid w:val="03E03874"/>
    <w:rsid w:val="050C2C6B"/>
    <w:rsid w:val="05830154"/>
    <w:rsid w:val="06420D80"/>
    <w:rsid w:val="06980C9A"/>
    <w:rsid w:val="075E73AD"/>
    <w:rsid w:val="0AED3611"/>
    <w:rsid w:val="0B957A2F"/>
    <w:rsid w:val="0C8C241F"/>
    <w:rsid w:val="0CBC669F"/>
    <w:rsid w:val="0FF52315"/>
    <w:rsid w:val="10B228CB"/>
    <w:rsid w:val="142F5627"/>
    <w:rsid w:val="18EC2835"/>
    <w:rsid w:val="19702A46"/>
    <w:rsid w:val="1A916A78"/>
    <w:rsid w:val="1CAD7D9A"/>
    <w:rsid w:val="1D951E4F"/>
    <w:rsid w:val="1E247BFD"/>
    <w:rsid w:val="1E8F141E"/>
    <w:rsid w:val="1F12124F"/>
    <w:rsid w:val="1F45087D"/>
    <w:rsid w:val="1F8E6FF4"/>
    <w:rsid w:val="206732E2"/>
    <w:rsid w:val="21872982"/>
    <w:rsid w:val="22DF578E"/>
    <w:rsid w:val="26557327"/>
    <w:rsid w:val="28AE0C6A"/>
    <w:rsid w:val="2D013A47"/>
    <w:rsid w:val="2D70601F"/>
    <w:rsid w:val="2D9C5E0C"/>
    <w:rsid w:val="2E2D26CB"/>
    <w:rsid w:val="3047158F"/>
    <w:rsid w:val="3625446B"/>
    <w:rsid w:val="36E00CA4"/>
    <w:rsid w:val="37135F8A"/>
    <w:rsid w:val="376C4039"/>
    <w:rsid w:val="376F0A4A"/>
    <w:rsid w:val="392E22E3"/>
    <w:rsid w:val="394C105D"/>
    <w:rsid w:val="3CC45FAE"/>
    <w:rsid w:val="3FC60CCB"/>
    <w:rsid w:val="41031DAE"/>
    <w:rsid w:val="46121F7F"/>
    <w:rsid w:val="46596BD5"/>
    <w:rsid w:val="4D2C2152"/>
    <w:rsid w:val="54896D47"/>
    <w:rsid w:val="5A441849"/>
    <w:rsid w:val="5A86292B"/>
    <w:rsid w:val="5CA04982"/>
    <w:rsid w:val="5CB642C6"/>
    <w:rsid w:val="5ED85163"/>
    <w:rsid w:val="5EE067D4"/>
    <w:rsid w:val="5F3034B8"/>
    <w:rsid w:val="5F382C1F"/>
    <w:rsid w:val="62F47DD5"/>
    <w:rsid w:val="64F70B94"/>
    <w:rsid w:val="65805161"/>
    <w:rsid w:val="664B67D7"/>
    <w:rsid w:val="6A496D5B"/>
    <w:rsid w:val="6A7F6072"/>
    <w:rsid w:val="6CC15367"/>
    <w:rsid w:val="6E2E70AD"/>
    <w:rsid w:val="7209155D"/>
    <w:rsid w:val="73377503"/>
    <w:rsid w:val="73BF508A"/>
    <w:rsid w:val="75BB5D52"/>
    <w:rsid w:val="7A0C1E87"/>
    <w:rsid w:val="7DB87534"/>
    <w:rsid w:val="7E1E5F8C"/>
    <w:rsid w:val="7E466A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customStyle="1" w:styleId="8">
    <w:name w:val="批注框文本 Char"/>
    <w:link w:val="2"/>
    <w:qFormat/>
    <w:uiPriority w:val="0"/>
    <w:rPr>
      <w:kern w:val="2"/>
      <w:sz w:val="18"/>
      <w:szCs w:val="18"/>
    </w:rPr>
  </w:style>
  <w:style w:type="character" w:customStyle="1" w:styleId="9">
    <w:name w:val="页眉 Char"/>
    <w:link w:val="4"/>
    <w:qFormat/>
    <w:uiPriority w:val="0"/>
    <w:rPr>
      <w:kern w:val="2"/>
      <w:sz w:val="18"/>
      <w:szCs w:val="18"/>
    </w:rPr>
  </w:style>
  <w:style w:type="paragraph" w:customStyle="1" w:styleId="10">
    <w:name w:val=" Char"/>
    <w:basedOn w:val="1"/>
    <w:qFormat/>
    <w:uiPriority w:val="0"/>
    <w:pPr>
      <w:widowControl/>
      <w:jc w:val="left"/>
    </w:pPr>
    <w:rPr>
      <w:rFonts w:ascii="Verdana" w:hAnsi="Verdana" w:eastAsia="仿宋_GB2312"/>
      <w:kern w:val="0"/>
      <w:sz w:val="28"/>
      <w:szCs w:val="20"/>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Pages>
  <Words>435</Words>
  <Characters>2483</Characters>
  <Lines>20</Lines>
  <Paragraphs>5</Paragraphs>
  <TotalTime>3</TotalTime>
  <ScaleCrop>false</ScaleCrop>
  <LinksUpToDate>false</LinksUpToDate>
  <CharactersWithSpaces>2913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2021-08-16T01:52:00Z</dcterms:created>
  <dc:creator>lenovo</dc:creator>
  <cp:lastModifiedBy>Administrator</cp:lastModifiedBy>
  <cp:lastPrinted>2020-08-11T02:40:00Z</cp:lastPrinted>
  <dcterms:modified xsi:type="dcterms:W3CDTF">2022-03-10T04:44:13Z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DE06895098144D16A0361907D10D48F3</vt:lpwstr>
  </property>
</Properties>
</file>