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hAnsi="仿宋_GB2312" w:eastAsia="仿宋_GB2312" w:cs="仿宋_GB2312"/>
          <w:b w:val="0"/>
          <w:bCs/>
          <w:sz w:val="44"/>
          <w:szCs w:val="44"/>
        </w:rPr>
      </w:pPr>
      <w:r>
        <w:rPr>
          <w:rFonts w:hint="eastAsia" w:ascii="仿宋_GB2312" w:hAnsi="仿宋_GB2312" w:eastAsia="仿宋_GB2312" w:cs="仿宋_GB2312"/>
          <w:b w:val="0"/>
          <w:bCs/>
          <w:sz w:val="44"/>
          <w:szCs w:val="44"/>
        </w:rPr>
        <w:t>康平县交通运输事务服务与行政执法中心</w:t>
      </w:r>
    </w:p>
    <w:p>
      <w:pPr>
        <w:jc w:val="center"/>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44"/>
          <w:szCs w:val="44"/>
        </w:rPr>
        <w:t>202</w:t>
      </w:r>
      <w:r>
        <w:rPr>
          <w:rFonts w:hint="eastAsia" w:ascii="仿宋_GB2312" w:hAnsi="仿宋_GB2312" w:eastAsia="仿宋_GB2312" w:cs="仿宋_GB2312"/>
          <w:b w:val="0"/>
          <w:bCs/>
          <w:sz w:val="44"/>
          <w:szCs w:val="44"/>
          <w:lang w:val="en-US" w:eastAsia="zh-CN"/>
        </w:rPr>
        <w:t>1</w:t>
      </w:r>
      <w:r>
        <w:rPr>
          <w:rFonts w:hint="eastAsia" w:ascii="仿宋_GB2312" w:hAnsi="仿宋_GB2312" w:eastAsia="仿宋_GB2312" w:cs="仿宋_GB2312"/>
          <w:b w:val="0"/>
          <w:bCs/>
          <w:sz w:val="44"/>
          <w:szCs w:val="44"/>
        </w:rPr>
        <w:t>年预算公开说明</w:t>
      </w:r>
    </w:p>
    <w:p>
      <w:pPr>
        <w:jc w:val="center"/>
        <w:rPr>
          <w:rFonts w:hint="eastAsia" w:ascii="仿宋_GB2312" w:hAnsi="仿宋_GB2312" w:eastAsia="仿宋_GB2312" w:cs="仿宋_GB2312"/>
          <w:b w:val="0"/>
          <w:bCs/>
          <w:sz w:val="32"/>
          <w:szCs w:val="32"/>
        </w:rPr>
      </w:pPr>
    </w:p>
    <w:p>
      <w:pPr>
        <w:pStyle w:val="7"/>
        <w:numPr>
          <w:ilvl w:val="0"/>
          <w:numId w:val="1"/>
        </w:numPr>
        <w:ind w:firstLineChars="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部门主要职责及机构设置情况</w:t>
      </w:r>
    </w:p>
    <w:p>
      <w:pPr>
        <w:pStyle w:val="4"/>
        <w:spacing w:before="0" w:beforeAutospacing="0" w:after="0" w:afterAutospacing="0"/>
        <w:ind w:firstLine="627" w:firstLineChars="196"/>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负责为本辖区内道路、水路运政、公路路政提供服务保障；负责本辖区内国、省、县级公路发展规划、为公路畅通、县乡两级公路的修建提供技术、养护与管理；负责为本辖区内邮政业提供服务与保障；负责为本辖区内交通运输行业质量安全提供服务保障；负责为本辖区内公安机关提供警务服务保障；负责为本辖区内工、农业物资输出输入等提供地方铁路服务保障。</w:t>
      </w:r>
    </w:p>
    <w:p>
      <w:pPr>
        <w:pStyle w:val="4"/>
        <w:spacing w:before="0" w:beforeAutospacing="0" w:after="0" w:afterAutospacing="0"/>
        <w:ind w:firstLine="627" w:firstLineChars="196"/>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康平县交通运输事务服务与行政执法中心为全额拨款事业单位,由康平县运输管理处、康平县交通行政执法大队、康平县邮政业发展中心、康平县公路管理处、康平县农村公路管理处、康平县地方铁路管理处、公安警务部等多家单位整合而成。</w:t>
      </w:r>
    </w:p>
    <w:p>
      <w:pPr>
        <w:pStyle w:val="4"/>
        <w:spacing w:before="0" w:beforeAutospacing="0" w:after="0" w:afterAutospacing="0"/>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二、预算收支增减变化情况</w:t>
      </w:r>
    </w:p>
    <w:p>
      <w:pPr>
        <w:ind w:firstLine="640" w:firstLineChars="200"/>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2021年康平县交通运输事务服务与行政执法中心预算收入金额584.89万元。2020年预算收入582.29万元，比2020年增加2.6万元，增加0.45%，原因是工资等不确定因素造成预算金额增加。其中，社会保障和就业支出增加1.44万元，增加2.4%。医疗卫生与计划生育支出增加1.05万元，增加3.2%。交通运输支出减少0.91万元，减少1.2%。住房保障支出增加1.02万元，增加2.4%。</w:t>
      </w:r>
    </w:p>
    <w:p>
      <w:pPr>
        <w:pStyle w:val="4"/>
        <w:spacing w:before="0" w:beforeAutospacing="0" w:after="0" w:afterAutospacing="0"/>
        <w:ind w:firstLine="627" w:firstLineChars="196"/>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三、机关运行费安排情况</w:t>
      </w:r>
    </w:p>
    <w:p>
      <w:pPr>
        <w:pStyle w:val="4"/>
        <w:spacing w:before="0" w:beforeAutospacing="0" w:after="0" w:afterAutospacing="0"/>
        <w:ind w:firstLine="627" w:firstLineChars="196"/>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2021年我单位无机关运行费</w:t>
      </w:r>
    </w:p>
    <w:p>
      <w:pPr>
        <w:pStyle w:val="4"/>
        <w:spacing w:before="0" w:beforeAutospacing="0" w:after="0" w:afterAutospacing="0"/>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四、政府采购安排情况</w:t>
      </w:r>
    </w:p>
    <w:p>
      <w:pPr>
        <w:pStyle w:val="4"/>
        <w:spacing w:before="0" w:beforeAutospacing="0" w:after="0" w:afterAutospacing="0"/>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202</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年我单位无政府采购安排。</w:t>
      </w:r>
    </w:p>
    <w:p>
      <w:pPr>
        <w:pStyle w:val="4"/>
        <w:spacing w:before="0" w:beforeAutospacing="0" w:after="0" w:afterAutospacing="0"/>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五、“三公”经费增减变化原因等情况说明</w:t>
      </w:r>
    </w:p>
    <w:p>
      <w:pPr>
        <w:ind w:firstLine="640" w:firstLineChars="200"/>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rPr>
        <w:t>202</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年我单位“三公”经费</w:t>
      </w:r>
      <w:r>
        <w:rPr>
          <w:rFonts w:hint="eastAsia" w:ascii="仿宋_GB2312" w:hAnsi="仿宋_GB2312" w:eastAsia="仿宋_GB2312" w:cs="仿宋_GB2312"/>
          <w:b w:val="0"/>
          <w:bCs/>
          <w:sz w:val="32"/>
          <w:szCs w:val="32"/>
          <w:lang w:val="en-US" w:eastAsia="zh-CN"/>
        </w:rPr>
        <w:t>无变化。2021年财政拨款“三公”经费中公务用车购置及运行费中运行维护费为5万元，2020年财政拨款“三公”经费中公务用车购置及运行费中运行维护费为5万元，原因是我单位有一辆公务用车，其财政投入无变化。</w:t>
      </w:r>
    </w:p>
    <w:p>
      <w:pPr>
        <w:pStyle w:val="4"/>
        <w:spacing w:before="0" w:beforeAutospacing="0" w:after="0" w:afterAutospacing="0"/>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六、预算绩效情况</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default"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我单位年度预算收入584.89万元，绩效目标是保障单位人员及日常经费支出。年度预算主要任务是部门基本支出人员经费557.89万元；部门基本支出公用经费27万元；特定目标类项目支出0万元。要实现履职效能，履行重点工作办结率要达到100%，整体工作完成及时率要达到100%，整体工作质量达标率要达到100%，整体工作完成率要达到100%。预算执行率要达到100%。预算绩效目标覆盖率要达到100%。预决算要全部公开，预算收入支出管理要规范。财务、内控制度管理实现有效性。固定资产利用率要达到100%，运行成本控制要有成效，“三公”经费变动率保持零，在职人员控制率要达到100%，人民群众出行满意率达到100%。</w:t>
      </w:r>
    </w:p>
    <w:p>
      <w:pPr>
        <w:pStyle w:val="4"/>
        <w:spacing w:before="0" w:beforeAutospacing="0" w:after="0" w:afterAutospacing="0"/>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七、国有资产占用使用情况</w:t>
      </w:r>
    </w:p>
    <w:p>
      <w:pPr>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202</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年我单位无占用使用情况。</w:t>
      </w:r>
    </w:p>
    <w:p>
      <w:pPr>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八、名词解释</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1.财政拨款收入：指市级财政当年拨付的资金。</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2.上级补助收入：指事业单位从主管部门和上级单位取得的非财政补助收入。</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3.附属单位上缴收入：指已纳入部门预算管理的独立核算的附属单位按照有关规定上缴的收入。</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4. 其他收入：指除上述“财政拨款收入”、“纳入专户管理的预算外资金拨款”、“上级补助、附属单位上缴收入”以外的收入。</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5.一般公共服务（类）财政事务（款）行政运行（项）：反映行政单位（包括实行公务员管理的事业单位）的基本支出。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6.一般公共服务（类）财政事务（款）一般行政管理事务（项）：反映行政单位（包括实行公务员管理的事业单位）未单独设置项级科目的其他项目支出。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7.一般公共服务（类）财政事务（款）预算改革业务（项）：反映财政部门用于预算改革方面的支出。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8.一般公共服务（类）财政事务（款）财政国库业务（项）：反映财政部门用于财政国库集中收付业务方面的支出。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9.一般公共服务（类）财政事务（款）事业运行（项）：反映事业单位的基本支出，不包括行政单位（包括实行公务员管理的事业单位）后勤服务中心、医务室等附属事业单位。</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10.一般公共服务（类）财政事务（款）其他财政事务支出（项）：反映除上述项目以外其他财政事务方面的支出。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11.社会保障和就业（类）行政事业单位离退休（款）归口管理的行政单位离退休（项）：反映实行归口管理的行政单位（包括实行公务员管理的事业单位）开支的离退休经费。</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12.社会保障和就业（类）行政事业单位离退休（款）事业单位离退休（项）：反映实行归口管理的事业单位开支的离退休经费。</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15.住房保障（类）住房改革（款）住房公积金（项）：反映行政事业单位按人力资源和社会保障部、财政部规定的基本工资和津贴补贴以及规定比例为职工缴纳的住房公积金。</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16. 基本支出：指保障机构正常运转、完成日常工作任务而发生的人员支出和公用支出。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17. 项目支出：指在基本支出之外为完成特定行政任务和事业发展目标所发生的支出。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640" w:firstLineChars="200"/>
        <w:rPr>
          <w:rFonts w:hint="eastAsia" w:ascii="仿宋_GB2312" w:hAnsi="仿宋_GB2312" w:eastAsia="仿宋_GB2312" w:cs="仿宋_GB2312"/>
          <w:b w:val="0"/>
          <w:bCs/>
          <w:sz w:val="32"/>
          <w:szCs w:val="32"/>
          <w:lang w:eastAsia="zh-CN"/>
        </w:rPr>
      </w:pPr>
    </w:p>
    <w:p>
      <w:pPr>
        <w:spacing w:line="560" w:lineRule="exact"/>
        <w:ind w:firstLine="640" w:firstLineChars="200"/>
        <w:rPr>
          <w:rFonts w:hint="eastAsia" w:ascii="仿宋_GB2312" w:hAnsi="仿宋_GB2312" w:eastAsia="仿宋_GB2312" w:cs="仿宋_GB2312"/>
          <w:b w:val="0"/>
          <w:bCs/>
          <w:sz w:val="32"/>
          <w:szCs w:val="32"/>
          <w:lang w:eastAsia="zh-CN"/>
        </w:rPr>
      </w:pPr>
    </w:p>
    <w:p>
      <w:pPr>
        <w:spacing w:line="560" w:lineRule="exact"/>
        <w:ind w:firstLine="640" w:firstLineChars="200"/>
        <w:rPr>
          <w:rFonts w:hint="eastAsia" w:ascii="仿宋_GB2312" w:hAnsi="仿宋_GB2312" w:eastAsia="仿宋_GB2312" w:cs="仿宋_GB2312"/>
          <w:b w:val="0"/>
          <w:bCs/>
          <w:sz w:val="32"/>
          <w:szCs w:val="32"/>
          <w:lang w:eastAsia="zh-CN"/>
        </w:rPr>
      </w:pPr>
    </w:p>
    <w:p>
      <w:pPr>
        <w:spacing w:line="560" w:lineRule="exact"/>
        <w:ind w:firstLine="640" w:firstLineChars="200"/>
        <w:rPr>
          <w:rFonts w:hint="eastAsia" w:ascii="仿宋_GB2312" w:hAnsi="仿宋_GB2312" w:eastAsia="仿宋_GB2312" w:cs="仿宋_GB2312"/>
          <w:b w:val="0"/>
          <w:bCs/>
          <w:sz w:val="32"/>
          <w:szCs w:val="32"/>
          <w:lang w:eastAsia="zh-CN"/>
        </w:rPr>
      </w:pPr>
      <w:bookmarkStart w:id="0" w:name="_GoBack"/>
      <w:bookmarkEnd w:id="0"/>
    </w:p>
    <w:p>
      <w:pPr>
        <w:spacing w:line="560" w:lineRule="exact"/>
        <w:ind w:firstLine="640" w:firstLineChars="200"/>
        <w:rPr>
          <w:rFonts w:hint="eastAsia" w:ascii="仿宋_GB2312" w:hAnsi="仿宋_GB2312" w:eastAsia="仿宋_GB2312" w:cs="仿宋_GB2312"/>
          <w:b w:val="0"/>
          <w:bCs/>
          <w:sz w:val="32"/>
          <w:szCs w:val="32"/>
          <w:lang w:eastAsia="zh-CN"/>
        </w:rPr>
      </w:pPr>
    </w:p>
    <w:p>
      <w:pPr>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康平县交通运输事务服务与行政执法中心</w:t>
      </w:r>
    </w:p>
    <w:p>
      <w:pPr>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202</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年1月</w:t>
      </w:r>
      <w:r>
        <w:rPr>
          <w:rFonts w:hint="eastAsia" w:ascii="仿宋_GB2312" w:hAnsi="仿宋_GB2312" w:eastAsia="仿宋_GB2312" w:cs="仿宋_GB2312"/>
          <w:b w:val="0"/>
          <w:bCs/>
          <w:sz w:val="32"/>
          <w:szCs w:val="32"/>
          <w:lang w:val="en-US" w:eastAsia="zh-CN"/>
        </w:rPr>
        <w:t>7</w:t>
      </w:r>
      <w:r>
        <w:rPr>
          <w:rFonts w:hint="eastAsia" w:ascii="仿宋_GB2312" w:hAnsi="仿宋_GB2312" w:eastAsia="仿宋_GB2312" w:cs="仿宋_GB2312"/>
          <w:b w:val="0"/>
          <w:bCs/>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1C3B00"/>
    <w:multiLevelType w:val="multilevel"/>
    <w:tmpl w:val="4E1C3B00"/>
    <w:lvl w:ilvl="0" w:tentative="0">
      <w:start w:val="1"/>
      <w:numFmt w:val="japaneseCounting"/>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323"/>
    <w:rsid w:val="00014B1C"/>
    <w:rsid w:val="00021976"/>
    <w:rsid w:val="00025C2C"/>
    <w:rsid w:val="0011401B"/>
    <w:rsid w:val="00117607"/>
    <w:rsid w:val="00134861"/>
    <w:rsid w:val="00135798"/>
    <w:rsid w:val="001558B5"/>
    <w:rsid w:val="00202739"/>
    <w:rsid w:val="00225863"/>
    <w:rsid w:val="002B4B9E"/>
    <w:rsid w:val="0034254A"/>
    <w:rsid w:val="00392A62"/>
    <w:rsid w:val="004454D0"/>
    <w:rsid w:val="00472635"/>
    <w:rsid w:val="00472F8A"/>
    <w:rsid w:val="0052767D"/>
    <w:rsid w:val="00574604"/>
    <w:rsid w:val="0066159B"/>
    <w:rsid w:val="006B2B17"/>
    <w:rsid w:val="00792C18"/>
    <w:rsid w:val="007D4D4E"/>
    <w:rsid w:val="007F0323"/>
    <w:rsid w:val="008F6CEB"/>
    <w:rsid w:val="009A2EB9"/>
    <w:rsid w:val="009D20E2"/>
    <w:rsid w:val="00A36DBC"/>
    <w:rsid w:val="00B17B2E"/>
    <w:rsid w:val="00BA63E4"/>
    <w:rsid w:val="00C17930"/>
    <w:rsid w:val="00C67658"/>
    <w:rsid w:val="00C9314C"/>
    <w:rsid w:val="00CB4C0E"/>
    <w:rsid w:val="00CE2F68"/>
    <w:rsid w:val="00D53AD0"/>
    <w:rsid w:val="00E47557"/>
    <w:rsid w:val="00EF0291"/>
    <w:rsid w:val="00FB19B7"/>
    <w:rsid w:val="1F847CB3"/>
    <w:rsid w:val="3A7C549F"/>
    <w:rsid w:val="67DE581D"/>
    <w:rsid w:val="72430B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7">
    <w:name w:val="List Paragraph"/>
    <w:basedOn w:val="1"/>
    <w:qFormat/>
    <w:uiPriority w:val="34"/>
    <w:pPr>
      <w:ind w:firstLine="420" w:firstLineChars="200"/>
    </w:pPr>
  </w:style>
  <w:style w:type="character" w:customStyle="1" w:styleId="8">
    <w:name w:val="页眉 Char"/>
    <w:basedOn w:val="6"/>
    <w:link w:val="3"/>
    <w:semiHidden/>
    <w:qFormat/>
    <w:uiPriority w:val="99"/>
    <w:rPr>
      <w:rFonts w:ascii="Times New Roman" w:hAnsi="Times New Roman" w:eastAsia="宋体" w:cs="Times New Roman"/>
      <w:sz w:val="18"/>
      <w:szCs w:val="18"/>
    </w:rPr>
  </w:style>
  <w:style w:type="character" w:customStyle="1" w:styleId="9">
    <w:name w:val="页脚 Char"/>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104</Words>
  <Characters>596</Characters>
  <Lines>4</Lines>
  <Paragraphs>1</Paragraphs>
  <TotalTime>5</TotalTime>
  <ScaleCrop>false</ScaleCrop>
  <LinksUpToDate>false</LinksUpToDate>
  <CharactersWithSpaces>699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2020-02-10T07:17:00Z</dcterms:created>
  <dc:creator>Administrator</dc:creator>
  <cp:lastModifiedBy>Administrator</cp:lastModifiedBy>
  <cp:lastPrinted>2021-01-07T01:14:00Z</cp:lastPrinted>
  <dcterms:modified xsi:type="dcterms:W3CDTF">2022-03-01T02:20:30Z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64925C6A08C24B7193A29D6FB0E95E03</vt:lpwstr>
  </property>
</Properties>
</file>