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44"/>
          <w:szCs w:val="44"/>
        </w:rPr>
      </w:pPr>
      <w:r>
        <w:rPr>
          <w:rFonts w:hint="eastAsia"/>
          <w:b/>
          <w:sz w:val="44"/>
          <w:szCs w:val="44"/>
        </w:rPr>
        <w:t>康平县产业转型升级促进中心</w:t>
      </w:r>
    </w:p>
    <w:p>
      <w:pPr>
        <w:jc w:val="center"/>
        <w:rPr>
          <w:rFonts w:hint="eastAsia"/>
          <w:b/>
          <w:sz w:val="44"/>
          <w:szCs w:val="44"/>
        </w:rPr>
      </w:pPr>
      <w:r>
        <w:rPr>
          <w:rFonts w:hint="eastAsia"/>
          <w:b/>
          <w:sz w:val="44"/>
          <w:szCs w:val="44"/>
        </w:rPr>
        <w:t>202</w:t>
      </w:r>
      <w:r>
        <w:rPr>
          <w:rFonts w:hint="eastAsia"/>
          <w:b/>
          <w:sz w:val="44"/>
          <w:szCs w:val="44"/>
          <w:lang w:val="en-US" w:eastAsia="zh-CN"/>
        </w:rPr>
        <w:t>1</w:t>
      </w:r>
      <w:r>
        <w:rPr>
          <w:rFonts w:hint="eastAsia"/>
          <w:b/>
          <w:sz w:val="44"/>
          <w:szCs w:val="44"/>
        </w:rPr>
        <w:t>年预算公开说明</w:t>
      </w:r>
    </w:p>
    <w:p>
      <w:pPr>
        <w:jc w:val="center"/>
        <w:rPr>
          <w:rFonts w:hint="eastAsia"/>
          <w:b/>
          <w:sz w:val="44"/>
          <w:szCs w:val="44"/>
          <w:lang w:val="en-US" w:eastAsia="zh-CN"/>
        </w:rPr>
      </w:pPr>
    </w:p>
    <w:p>
      <w:pPr>
        <w:bidi w:val="0"/>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部门主要职责及机构设置情况</w:t>
      </w:r>
    </w:p>
    <w:p>
      <w:pPr>
        <w:bidi w:val="0"/>
        <w:ind w:firstLine="640" w:firstLineChars="200"/>
        <w:rPr>
          <w:rFonts w:hint="eastAsia" w:ascii="仿宋" w:hAnsi="仿宋" w:eastAsia="仿宋" w:cs="仿宋"/>
          <w:szCs w:val="32"/>
        </w:rPr>
      </w:pPr>
      <w:r>
        <w:rPr>
          <w:rFonts w:hint="eastAsia" w:ascii="仿宋" w:hAnsi="仿宋" w:eastAsia="仿宋" w:cs="仿宋"/>
          <w:sz w:val="32"/>
          <w:szCs w:val="32"/>
        </w:rPr>
        <w:t>康平县产业转型升级促进中心成立于2018年8月30日，中心主要工作职责为</w:t>
      </w:r>
      <w:r>
        <w:rPr>
          <w:rFonts w:hint="eastAsia" w:ascii="仿宋" w:hAnsi="仿宋" w:eastAsia="仿宋" w:cs="仿宋"/>
          <w:szCs w:val="32"/>
        </w:rPr>
        <w:t>：</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（一）围绕贯彻国家和省、市的产业发展战略及有关政策措施，开展相关公益性工作，促进我县产业转型升级和创新发展，加快构建现代产业体系。</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（二）参与制定县政府产业发展政策和鼓励措施，开展调研论证，提出建议和方案，进行政策执行效果评估及有关产业发展重大专项课题研究服务等工作。</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（三)策划、协调和组织开展我县对外经济合作、学术交流以及经济发展主题论坛和展会等大型活动。</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（四）配合政府相关职能部门做好招商引资服务工作。</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（五）开展面向企业管理人员的公益性培训和教育辅导等工作。</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（六）联系国内外各类政府机构和社会组织，为我县产业发展协调金融和基金支持等工作，包括利用外国政府和世界银行贷款的日常管理等工作。</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（七)依托国家级中小企业公共示范平台，开展政策咨询，大数据共享、创业、培训服务，“个转企”和“上市辅导”等服务企业工作。</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(八）按照国家、省相关政策法规要求，负责对纪检监察机关、公安司法机关、海关等部门查办案件涉案财物进行价格认定工作。</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（九）负责本单位党的建设和群团工作。</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（十）负责全县生产、经营进出口粮油食品质量进行监测和业务指导服务工作。</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（十一）负责为县统计局提供全县各行业统计调查相关服务工作。</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（十二）负责为县审计局提供审计业务服务工作。</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（十三）承担县委、县政府交办的其他工作。</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中心为县政府直属事业单位，核定事业编制132人，现有在职人员98人，退休143人，离休2人，共设置7个内设机构。</w:t>
      </w:r>
    </w:p>
    <w:p>
      <w:pPr>
        <w:pStyle w:val="4"/>
        <w:bidi w:val="0"/>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二、预算收支增减变化情况</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我单位各项经费均为财政拨款，各项支出均按财政要求支出。2021年预算为895.45万元，支出预算数为895.45万元，2020年产业转型中心财政拨款收入预算数928.74万元，同比减少3.58%，减少原因为人员调动及人员经费调整。</w:t>
      </w:r>
    </w:p>
    <w:p>
      <w:pPr>
        <w:pStyle w:val="4"/>
        <w:bidi w:val="0"/>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三、机关运行费安排情况</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一般公共服务支出737.57万元，社会保障和就业支出70.13万元，医疗卫生与计划生育支出37.67万元，住房保障支出50.07万元。</w:t>
      </w:r>
    </w:p>
    <w:p>
      <w:pPr>
        <w:pStyle w:val="4"/>
        <w:bidi w:val="0"/>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四、政府采购安排情况</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本年度没有预算政府采购项目，但以实际发生为准。</w:t>
      </w:r>
    </w:p>
    <w:p>
      <w:pPr>
        <w:pStyle w:val="4"/>
        <w:bidi w:val="0"/>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五、“三公”经费增减变化原因等情况说明</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本年度无三公经费支出。</w:t>
      </w:r>
    </w:p>
    <w:p>
      <w:pPr>
        <w:pStyle w:val="4"/>
        <w:bidi w:val="0"/>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六、预算绩效情况</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单位本年不涉及民生项目和重大支出项目无绩效评价情况公开。</w:t>
      </w:r>
    </w:p>
    <w:p>
      <w:pPr>
        <w:pStyle w:val="4"/>
        <w:bidi w:val="0"/>
        <w:ind w:firstLine="643" w:firstLineChars="200"/>
        <w:rPr>
          <w:rFonts w:hint="eastAsia" w:ascii="仿宋" w:hAnsi="仿宋" w:eastAsia="仿宋" w:cs="仿宋"/>
          <w:sz w:val="32"/>
          <w:szCs w:val="32"/>
        </w:rPr>
      </w:pPr>
      <w:r>
        <w:rPr>
          <w:rFonts w:hint="default" w:eastAsia="仿宋" w:cs="仿宋" w:asciiTheme="majorAscii" w:hAnsiTheme="majorAscii"/>
          <w:b/>
          <w:bCs/>
          <w:sz w:val="32"/>
          <w:szCs w:val="32"/>
        </w:rPr>
        <w:t>七、</w:t>
      </w:r>
      <w:r>
        <w:rPr>
          <w:rFonts w:hint="eastAsia" w:ascii="仿宋" w:hAnsi="仿宋" w:eastAsia="仿宋" w:cs="仿宋"/>
          <w:b/>
          <w:bCs/>
          <w:sz w:val="32"/>
          <w:szCs w:val="32"/>
        </w:rPr>
        <w:t>国有资产占用使用情况</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截至2020年12月31日,产业转型升级促进中心固定资产为71万元。与上年相比共减少117.16万元，原因为上级部门要求对固定资产累计折旧和超年限资产报废处理。</w:t>
      </w:r>
    </w:p>
    <w:p>
      <w:pPr>
        <w:pStyle w:val="4"/>
        <w:numPr>
          <w:numId w:val="0"/>
        </w:numPr>
        <w:bidi w:val="0"/>
        <w:ind w:left="630" w:leftChars="0" w:right="0" w:rightChars="0"/>
        <w:rPr>
          <w:rFonts w:hint="eastAsia" w:ascii="仿宋_GB2312" w:hAnsi="Times New Roman" w:eastAsia="仿宋_GB2312" w:cs="仿宋_GB2312"/>
          <w:b/>
          <w:bCs/>
          <w:kern w:val="2"/>
          <w:sz w:val="32"/>
          <w:szCs w:val="32"/>
          <w:lang w:val="en-US" w:eastAsia="zh-CN"/>
        </w:rPr>
      </w:pPr>
      <w:r>
        <w:rPr>
          <w:rFonts w:hint="eastAsia" w:ascii="仿宋" w:hAnsi="仿宋" w:eastAsia="仿宋" w:cs="仿宋"/>
          <w:b/>
          <w:bCs/>
          <w:sz w:val="32"/>
          <w:szCs w:val="32"/>
          <w:lang w:val="en-US" w:eastAsia="zh-CN"/>
        </w:rPr>
        <w:t>八、预算绩效情况</w:t>
      </w:r>
    </w:p>
    <w:p>
      <w:pPr>
        <w:pStyle w:val="4"/>
        <w:numPr>
          <w:ilvl w:val="0"/>
          <w:numId w:val="0"/>
        </w:numPr>
        <w:bidi w:val="0"/>
        <w:ind w:right="0" w:rightChars="0" w:firstLine="640" w:firstLineChars="200"/>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（一）年度预算绩效管理工作整体开展情况</w:t>
      </w:r>
    </w:p>
    <w:p>
      <w:pPr>
        <w:pStyle w:val="4"/>
        <w:numPr>
          <w:ilvl w:val="0"/>
          <w:numId w:val="0"/>
        </w:numPr>
        <w:bidi w:val="0"/>
        <w:ind w:right="0" w:rightChars="0" w:firstLine="640" w:firstLineChars="200"/>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2021年，我单位以绩效目标实现为导向，进一步加强制度建设，提升自评质量，使预算绩效管理取得新成效。一是抓好绩效目标编制，及时报送绩效目标；二是探索绩效跟踪监控，加强过程监控；三是深入开展支出绩效评价，对专项资金实施绩效自评，在此基础上形成自评报告；四是强化评价结果应用，组织绩效自评和绩效跟踪监控，对发现的问题及时改进，加强评价结果与项目资金安排的衔接；五是健全绩效管理工作机制，明确职责分工，努力提高绩效管理工作水平。</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right="0" w:righ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（二）基础工作管理</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 w:hAnsi="仿宋" w:eastAsia="仿宋" w:cs="仿宋"/>
          <w:sz w:val="32"/>
          <w:szCs w:val="32"/>
          <w:lang w:val="en-US" w:eastAsia="zh-CN"/>
        </w:rPr>
      </w:pPr>
      <w:r>
        <w:rPr>
          <w:rFonts w:hint="eastAsia" w:ascii="仿宋_GB2312" w:hAnsi="Times New Roman" w:eastAsia="仿宋_GB2312" w:cs="仿宋_GB2312"/>
          <w:b w:val="0"/>
          <w:bCs/>
          <w:kern w:val="2"/>
          <w:sz w:val="32"/>
          <w:szCs w:val="32"/>
          <w:lang w:val="en-US" w:eastAsia="zh-CN"/>
        </w:rPr>
        <w:t>我中心领导非常重视预算绩效管理工作对各项工作给予大力支持和指导，对上级做</w:t>
      </w:r>
      <w:r>
        <w:rPr>
          <w:rFonts w:hint="eastAsia" w:ascii="仿宋" w:hAnsi="仿宋" w:eastAsia="仿宋" w:cs="仿宋"/>
          <w:sz w:val="32"/>
          <w:szCs w:val="32"/>
          <w:lang w:val="en-US" w:eastAsia="zh-CN"/>
        </w:rPr>
        <w:t>出的批示和下发的政策批复非常关心。在一些制度建设方面我们做的有些欠缺，有待提高和完善。</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（三）绩效项目管理</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default"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我中心年度预算收入895.45万元，绩效目标是保障单位人员及日常经费支出。年度预算主要任务是部门基本支出人员经费630.82万元；部门基本支出公用经费43.92万元；其他运转类项目支出临时工经费220.71万元。要实现履职效能，履行重点工作办结率要达到100%，，整体工作完成及时率要达到100%，整体工作质量达标率要达到100%，整体工作完成率要达到100%。预算执行率要达到100%。预算绩效目标覆盖率要达到100%。预决算要全部公开，预算收入支出管理要规范。财务、内控制度管理实现有效性。固定资产利用率要达到100%，运行成本控制要有成效，“三公”经费变动率保持零，在职人员控制率要达到100%。要不断增强、提升体制机制治理能力，要不断完善创新驱动发展信息化相关制度。从无拖欠。</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（四）预算绩效管理工作存在的问题</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 w:hAnsi="仿宋" w:eastAsia="仿宋" w:cs="仿宋"/>
          <w:sz w:val="32"/>
          <w:szCs w:val="32"/>
          <w:lang w:val="en-US" w:eastAsia="zh-CN"/>
        </w:rPr>
      </w:pPr>
      <w:r>
        <w:rPr>
          <w:rFonts w:hint="eastAsia" w:ascii="仿宋_GB2312" w:hAnsi="Times New Roman" w:eastAsia="仿宋_GB2312" w:cs="仿宋_GB2312"/>
          <w:b w:val="0"/>
          <w:bCs/>
          <w:kern w:val="2"/>
          <w:sz w:val="32"/>
          <w:szCs w:val="32"/>
          <w:lang w:val="en-US" w:eastAsia="zh-CN"/>
        </w:rPr>
        <w:t>工作中还存在许多不足，尤其是资金的使用上加强管理，杜绝一些不合理的支出。</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（五）下一年工作计划</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 w:hAnsi="仿宋" w:eastAsia="仿宋" w:cs="仿宋"/>
          <w:sz w:val="32"/>
          <w:szCs w:val="32"/>
        </w:rPr>
      </w:pPr>
      <w:r>
        <w:rPr>
          <w:rFonts w:hint="eastAsia" w:ascii="仿宋_GB2312" w:hAnsi="Times New Roman" w:eastAsia="仿宋_GB2312" w:cs="仿宋_GB2312"/>
          <w:b w:val="0"/>
          <w:bCs/>
          <w:kern w:val="2"/>
          <w:sz w:val="32"/>
          <w:szCs w:val="32"/>
          <w:lang w:val="en-US" w:eastAsia="zh-CN"/>
        </w:rPr>
        <w:t>新的一年即将开始，我中心将搞好预算绩效管理工作，按照上级部门的要求做好新的预算，保证预算准确、无失误，将预算绩效管理工作做得更好。</w:t>
      </w:r>
    </w:p>
    <w:p>
      <w:pPr>
        <w:pStyle w:val="4"/>
        <w:bidi w:val="0"/>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九</w:t>
      </w:r>
      <w:r>
        <w:rPr>
          <w:rFonts w:hint="eastAsia" w:ascii="仿宋" w:hAnsi="仿宋" w:eastAsia="仿宋" w:cs="仿宋"/>
          <w:b/>
          <w:bCs/>
          <w:sz w:val="32"/>
          <w:szCs w:val="32"/>
        </w:rPr>
        <w:t>、名词解释</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1.财政拨款收入：指市级财政当年拨付的资金。</w:t>
      </w:r>
    </w:p>
    <w:p>
      <w:pPr>
        <w:pStyle w:val="4"/>
        <w:bidi w:val="0"/>
        <w:rPr>
          <w:rFonts w:hint="eastAsia" w:ascii="仿宋" w:hAnsi="仿宋" w:eastAsia="仿宋" w:cs="仿宋"/>
          <w:sz w:val="32"/>
          <w:szCs w:val="32"/>
        </w:rPr>
      </w:pPr>
      <w:r>
        <w:rPr>
          <w:rFonts w:hint="eastAsia" w:ascii="仿宋" w:hAnsi="仿宋" w:eastAsia="仿宋" w:cs="仿宋"/>
          <w:sz w:val="32"/>
          <w:szCs w:val="32"/>
          <w:lang w:val="en-US" w:eastAsia="zh-CN"/>
        </w:rPr>
        <w:t xml:space="preserve">    2</w:t>
      </w:r>
      <w:r>
        <w:rPr>
          <w:rFonts w:hint="eastAsia" w:ascii="仿宋" w:hAnsi="仿宋" w:eastAsia="仿宋" w:cs="仿宋"/>
          <w:sz w:val="32"/>
          <w:szCs w:val="32"/>
        </w:rPr>
        <w:t>.上级补助收入：指事业单位从主管部门和上级单位取得的非财政补助收入。</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3.附属单位上缴收入：指已纳入部门预算管理的独立核算的附属单位按照有关规定上缴的收入。</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4. 其他收入：指除上述“财政拨款收入”、“纳入专户管理的预算外资金拨款”、“上级补助、附属单位上缴收入”以外的收入。</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5.一般公共服务（类）财政事务（款）行政运行（项）：反映行政单位（包括实行公务员管理的事业单位）的基本支出。</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6.一般公共服务（类）财政事务（款）一般行政管理事务（项）：反映行政单位（包括实行公务员管理的事业单位）未单独设置项级科目的其他项目支出。</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7.一般公共服务（类）财政事务（款）预算改革业务（项）：反映财政部门用于预算改革方面的支出。</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8.一般公共服务（类）财政事务（款）财政国库业务（项）：反映财政部门用于财政国库集中收付业务方面的支出。</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9.一般公共服务（类）财政事务（款）事业运行（项）：反映事业单位的基本支出，不包括行政单位（包括实行公务员管理的事业单位）后勤服务中心、医务室等附属事业单位。</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10.一般公共服务（类）财政事务（款）其他财政事务支出（项）：反映除上述项目以外其他财政事务方面的支出。</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11.社会保障和就业（类）行政事业单位离退休（款）归口管理的行政单位离退休（项）：反映实行归口管理的行政单位（包括实行公务员管理的事业单位）开支的离退休经费。</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12.社会保障和就业（类）行政事业单位离退休（款）事业单位离退休（项）：反映实行归口管理的事业单位开支的离退休经费。</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15</w:t>
      </w:r>
      <w:r>
        <w:rPr>
          <w:rFonts w:hint="eastAsia" w:ascii="仿宋" w:hAnsi="仿宋" w:eastAsia="仿宋" w:cs="仿宋"/>
          <w:sz w:val="32"/>
          <w:szCs w:val="32"/>
        </w:rPr>
        <w:t>.住房保障（类）住房改革（款）住房公积金（项）：反映行政事业单位按人力资源和社会保障部、财政部规定的基本工资和津贴补贴以及规定比例为职工缴纳的住房公积金。</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16. 基本支出：指保障机构正常运转、完成日常工作任务而发生的人员支出和公用支出。</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17. 项目支出：指在基本支出之外为完成特定行政任务和事业发展目标所发生的支出。</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4"/>
        <w:bidi w:val="0"/>
        <w:ind w:firstLine="640" w:firstLineChars="200"/>
        <w:rPr>
          <w:rFonts w:hint="eastAsia" w:ascii="仿宋" w:hAnsi="仿宋" w:eastAsia="仿宋" w:cs="仿宋"/>
          <w:sz w:val="32"/>
          <w:szCs w:val="32"/>
        </w:rPr>
      </w:pPr>
      <w:r>
        <w:rPr>
          <w:rFonts w:hint="eastAsia" w:ascii="仿宋" w:hAnsi="仿宋" w:eastAsia="仿宋" w:cs="仿宋"/>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rPr>
          <w:rFonts w:hint="eastAsia" w:ascii="仿宋" w:hAnsi="仿宋" w:eastAsia="仿宋" w:cs="仿宋"/>
          <w:sz w:val="32"/>
          <w:szCs w:val="3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libri">
    <w:panose1 w:val="020F0502020204030204"/>
    <w:charset w:val="86"/>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E92EC8"/>
    <w:rsid w:val="2CA52653"/>
    <w:rsid w:val="49C26861"/>
    <w:rsid w:val="63B61E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link w:val="8"/>
    <w:qFormat/>
    <w:uiPriority w:val="0"/>
    <w:pPr>
      <w:spacing w:before="0" w:beforeAutospacing="1" w:after="0" w:afterAutospacing="1"/>
      <w:ind w:left="0" w:right="0"/>
      <w:jc w:val="left"/>
    </w:pPr>
    <w:rPr>
      <w:kern w:val="0"/>
      <w:sz w:val="24"/>
      <w:lang w:val="en-US" w:eastAsia="zh-CN" w:bidi="ar"/>
    </w:rPr>
  </w:style>
  <w:style w:type="character" w:styleId="7">
    <w:name w:val="Emphasis"/>
    <w:basedOn w:val="6"/>
    <w:qFormat/>
    <w:uiPriority w:val="0"/>
    <w:rPr>
      <w:i/>
    </w:rPr>
  </w:style>
  <w:style w:type="character" w:customStyle="1" w:styleId="8">
    <w:name w:val="普通(网站) Char"/>
    <w:link w:val="4"/>
    <w:qFormat/>
    <w:uiPriority w:val="0"/>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Office_11.1.0.10723_F1E327BC-269C-435d-A152-05C5408002CA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2022-02-28T03:48:00Z</dcterms:created>
  <dc:creator>87015</dc:creator>
  <cp:lastModifiedBy>逛吃吃</cp:lastModifiedBy>
  <dcterms:modified xsi:type="dcterms:W3CDTF">2022-03-08T04:03:52Z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ICV">
    <vt:lpwstr>438C1D681BC84D71AA5CA718ED38330F</vt:lpwstr>
  </property>
</Properties>
</file>